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DC48ED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bookmarkStart w:id="0" w:name="_Hlk127461000"/>
      <w:r w:rsidR="009376CD">
        <w:rPr>
          <w:bCs/>
          <w:noProof w:val="0"/>
          <w:sz w:val="24"/>
          <w:szCs w:val="24"/>
        </w:rPr>
        <w:t>2</w:t>
      </w:r>
      <w:r w:rsidR="00E038FB">
        <w:rPr>
          <w:bCs/>
          <w:noProof w:val="0"/>
          <w:sz w:val="24"/>
          <w:szCs w:val="24"/>
        </w:rPr>
        <w:t>3</w:t>
      </w:r>
      <w:r w:rsidR="00C55A12">
        <w:rPr>
          <w:bCs/>
          <w:noProof w:val="0"/>
          <w:sz w:val="24"/>
          <w:szCs w:val="24"/>
        </w:rPr>
        <w:t>0</w:t>
      </w:r>
      <w:r w:rsidR="00914EB1">
        <w:rPr>
          <w:bCs/>
          <w:noProof w:val="0"/>
          <w:sz w:val="24"/>
          <w:szCs w:val="24"/>
        </w:rPr>
        <w:t>1356</w:t>
      </w:r>
      <w:bookmarkEnd w:id="0"/>
    </w:p>
    <w:p w14:paraId="11776FA6" w14:textId="0A24544E"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1FF79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B4910">
        <w:rPr>
          <w:rFonts w:cs="Arial"/>
          <w:b/>
          <w:bCs/>
          <w:sz w:val="24"/>
          <w:lang w:eastAsia="ja-JP"/>
        </w:rPr>
        <w:t>8.</w:t>
      </w:r>
      <w:r w:rsidR="00EE0FEC">
        <w:rPr>
          <w:rFonts w:cs="Arial"/>
          <w:b/>
          <w:bCs/>
          <w:sz w:val="24"/>
          <w:lang w:eastAsia="ja-JP"/>
        </w:rPr>
        <w:t>15.</w:t>
      </w:r>
      <w:r w:rsidR="00CB4910">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4C93CDD" w:rsidR="00446C3A" w:rsidRDefault="00446C3A" w:rsidP="5A860328">
      <w:pPr>
        <w:ind w:left="1985" w:hanging="1985"/>
        <w:rPr>
          <w:rFonts w:ascii="Arial" w:hAnsi="Arial" w:cs="Arial"/>
          <w:b/>
          <w:bCs/>
          <w:sz w:val="24"/>
          <w:szCs w:val="24"/>
        </w:rPr>
      </w:pPr>
      <w:r w:rsidRPr="5A860328">
        <w:rPr>
          <w:rFonts w:ascii="Arial" w:hAnsi="Arial" w:cs="Arial"/>
          <w:b/>
          <w:bCs/>
          <w:sz w:val="24"/>
          <w:szCs w:val="24"/>
        </w:rPr>
        <w:t>Title:</w:t>
      </w:r>
      <w:r>
        <w:tab/>
      </w:r>
      <w:bookmarkStart w:id="1" w:name="_Hlk127460977"/>
      <w:r w:rsidR="00CB4910" w:rsidRPr="5A860328">
        <w:rPr>
          <w:rFonts w:ascii="Arial" w:hAnsi="Arial" w:cs="Arial"/>
          <w:b/>
          <w:bCs/>
          <w:sz w:val="24"/>
          <w:szCs w:val="24"/>
        </w:rPr>
        <w:t xml:space="preserve">Considerations on </w:t>
      </w:r>
      <w:r w:rsidR="29AC15AF" w:rsidRPr="5A860328">
        <w:rPr>
          <w:rFonts w:ascii="Arial" w:hAnsi="Arial" w:cs="Arial"/>
          <w:b/>
          <w:bCs/>
          <w:sz w:val="24"/>
          <w:szCs w:val="24"/>
        </w:rPr>
        <w:t xml:space="preserve">consistent LBT failure and </w:t>
      </w:r>
      <w:r w:rsidR="00CB4910" w:rsidRPr="5A860328">
        <w:rPr>
          <w:rFonts w:ascii="Arial" w:hAnsi="Arial" w:cs="Arial"/>
          <w:b/>
          <w:bCs/>
          <w:sz w:val="24"/>
          <w:szCs w:val="24"/>
        </w:rPr>
        <w:t>HARQ</w:t>
      </w:r>
      <w:r w:rsidR="66F4D605" w:rsidRPr="5A860328">
        <w:rPr>
          <w:rFonts w:ascii="Arial" w:hAnsi="Arial" w:cs="Arial"/>
          <w:b/>
          <w:bCs/>
          <w:sz w:val="24"/>
          <w:szCs w:val="24"/>
        </w:rPr>
        <w:t xml:space="preserve"> procedure</w:t>
      </w:r>
      <w:bookmarkEnd w:id="1"/>
    </w:p>
    <w:p w14:paraId="25F387E8" w14:textId="45EC026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4910" w:rsidRPr="00CB4910">
        <w:rPr>
          <w:rFonts w:ascii="Arial" w:hAnsi="Arial" w:cs="Arial"/>
          <w:b/>
          <w:bCs/>
          <w:sz w:val="24"/>
        </w:rPr>
        <w:t>NR_SL_enh2</w:t>
      </w:r>
      <w:r w:rsidRPr="00112F1A">
        <w:rPr>
          <w:rFonts w:ascii="Arial" w:hAnsi="Arial" w:cs="Arial"/>
          <w:b/>
          <w:bCs/>
          <w:sz w:val="24"/>
        </w:rPr>
        <w:t xml:space="preserve"> </w:t>
      </w:r>
      <w:r>
        <w:rPr>
          <w:rFonts w:ascii="Arial" w:hAnsi="Arial" w:cs="Arial"/>
          <w:b/>
          <w:bCs/>
          <w:sz w:val="24"/>
        </w:rPr>
        <w:t xml:space="preserve">- Release </w:t>
      </w:r>
      <w:r w:rsidR="00CB491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5F798CB" w14:textId="24528B03" w:rsidR="002754A9" w:rsidRPr="00E5465C" w:rsidRDefault="002754A9" w:rsidP="002754A9">
      <w:pPr>
        <w:pStyle w:val="ListParagraph"/>
        <w:spacing w:before="120" w:after="120"/>
        <w:ind w:left="0"/>
        <w:contextualSpacing w:val="0"/>
        <w:jc w:val="both"/>
        <w:rPr>
          <w:lang w:val="en-US"/>
        </w:rPr>
      </w:pPr>
      <w:bookmarkStart w:id="2" w:name="_Hlk525462591"/>
      <w:r w:rsidRPr="00E5465C">
        <w:rPr>
          <w:lang w:val="en-US"/>
        </w:rPr>
        <w:t xml:space="preserve">In RAN Meeting #96, the </w:t>
      </w:r>
      <w:hyperlink r:id="rId12" w:history="1">
        <w:r w:rsidRPr="00914EB1">
          <w:rPr>
            <w:rStyle w:val="Hyperlink"/>
            <w:lang w:val="en-US"/>
          </w:rPr>
          <w:t>WID</w:t>
        </w:r>
      </w:hyperlink>
      <w:r w:rsidRPr="00E5465C">
        <w:rPr>
          <w:lang w:val="en-US"/>
        </w:rPr>
        <w:t xml:space="preserve"> on NR sidelink evolution was agreed. It includes the following objective for operation of sidelink in unlicensed spectrum:</w:t>
      </w:r>
    </w:p>
    <w:tbl>
      <w:tblPr>
        <w:tblStyle w:val="TableGrid"/>
        <w:tblW w:w="0" w:type="auto"/>
        <w:tblLook w:val="04A0" w:firstRow="1" w:lastRow="0" w:firstColumn="1" w:lastColumn="0" w:noHBand="0" w:noVBand="1"/>
      </w:tblPr>
      <w:tblGrid>
        <w:gridCol w:w="9631"/>
      </w:tblGrid>
      <w:tr w:rsidR="002754A9" w:rsidRPr="00E5465C" w14:paraId="6351492F" w14:textId="77777777">
        <w:tc>
          <w:tcPr>
            <w:tcW w:w="9962" w:type="dxa"/>
          </w:tcPr>
          <w:bookmarkEnd w:id="2"/>
          <w:p w14:paraId="66AD915D" w14:textId="77777777" w:rsidR="002754A9" w:rsidRPr="00E5465C" w:rsidRDefault="002754A9">
            <w:pPr>
              <w:spacing w:before="120" w:after="0"/>
              <w:ind w:left="426" w:hanging="284"/>
              <w:rPr>
                <w:rFonts w:ascii="Times New Roman" w:eastAsia="Batang" w:hAnsi="Times New Roman"/>
                <w:lang w:eastAsia="en-GB"/>
              </w:rPr>
            </w:pPr>
            <w:r w:rsidRPr="00E5465C">
              <w:rPr>
                <w:rFonts w:ascii="Times New Roman" w:eastAsia="Batang" w:hAnsi="Times New Roman"/>
                <w:lang w:eastAsia="en-GB"/>
              </w:rPr>
              <w:t>2.</w:t>
            </w:r>
            <w:r w:rsidRPr="00E5465C">
              <w:rPr>
                <w:rFonts w:ascii="Times New Roman" w:eastAsia="Batang" w:hAnsi="Times New Roman"/>
                <w:lang w:eastAsia="en-GB"/>
              </w:rPr>
              <w:tab/>
              <w:t xml:space="preserve">Study and specify support of sidelink on unlicensed spectrum for both mode 1 and mode 2 where </w:t>
            </w:r>
            <w:proofErr w:type="spellStart"/>
            <w:r w:rsidRPr="00E5465C">
              <w:rPr>
                <w:rFonts w:ascii="Times New Roman" w:eastAsia="Batang" w:hAnsi="Times New Roman"/>
                <w:lang w:eastAsia="en-GB"/>
              </w:rPr>
              <w:t>Uu</w:t>
            </w:r>
            <w:proofErr w:type="spellEnd"/>
            <w:r w:rsidRPr="00E5465C">
              <w:rPr>
                <w:rFonts w:ascii="Times New Roman" w:eastAsia="Batang" w:hAnsi="Times New Roman"/>
                <w:lang w:eastAsia="en-GB"/>
              </w:rPr>
              <w:t xml:space="preserve"> operation for mode 1 is limited to licensed spectrum only [RAN1, RAN2, RAN4]</w:t>
            </w:r>
          </w:p>
          <w:p w14:paraId="2BAE9306" w14:textId="77777777" w:rsidR="002754A9" w:rsidRPr="00E5465C" w:rsidRDefault="002754A9">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Channel access mechanisms from NR-U shall be reused for sidelink unlicensed operation</w:t>
            </w:r>
          </w:p>
          <w:p w14:paraId="634B18C8" w14:textId="77777777" w:rsidR="002754A9" w:rsidRPr="00E5465C" w:rsidRDefault="002754A9">
            <w:pPr>
              <w:spacing w:before="60" w:after="60"/>
              <w:ind w:left="1418" w:hanging="284"/>
              <w:rPr>
                <w:rFonts w:ascii="Times New Roman" w:eastAsia="Batang" w:hAnsi="Times New Roman"/>
                <w:lang w:eastAsia="ko-KR"/>
              </w:rPr>
            </w:pPr>
            <w:bookmarkStart w:id="3" w:name="_Hlk89917081"/>
            <w:r w:rsidRPr="00E5465C">
              <w:rPr>
                <w:rFonts w:ascii="Times New Roman" w:eastAsia="Batang" w:hAnsi="Times New Roman"/>
                <w:lang w:eastAsia="ko-KR"/>
              </w:rPr>
              <w:t>o</w:t>
            </w:r>
            <w:r w:rsidRPr="00E5465C">
              <w:rPr>
                <w:rFonts w:ascii="Times New Roman" w:eastAsia="Batang" w:hAnsi="Times New Roman"/>
                <w:lang w:eastAsia="ko-KR"/>
              </w:rPr>
              <w:tab/>
              <w:t>Assess the applicability of sidelink resource reservation from Rel-16/Rel-17 to sidelink unlicensed operation within the boundaries of unlicensed channel access mechanism and operation</w:t>
            </w:r>
          </w:p>
          <w:p w14:paraId="5302950F" w14:textId="77777777" w:rsidR="002754A9" w:rsidRPr="00E5465C" w:rsidRDefault="002754A9">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No specific enhancements for Rel-17 resource allocation mechanisms</w:t>
            </w:r>
            <w:bookmarkEnd w:id="3"/>
          </w:p>
          <w:p w14:paraId="251D4993" w14:textId="77777777" w:rsidR="002754A9" w:rsidRPr="00E5465C" w:rsidRDefault="002754A9">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If the existing NR-U channel access framework does not support the required SL-U functionality, WGs will make appropriate recommendations for RAN approval.</w:t>
            </w:r>
          </w:p>
          <w:p w14:paraId="6F9C602B" w14:textId="77777777" w:rsidR="002754A9" w:rsidRPr="00E5465C" w:rsidRDefault="002754A9">
            <w:pPr>
              <w:spacing w:before="60" w:after="60"/>
              <w:ind w:left="993" w:hanging="284"/>
              <w:rPr>
                <w:rFonts w:ascii="Times New Roman" w:eastAsia="Batang" w:hAnsi="Times New Roman"/>
                <w:lang w:eastAsia="ko-KR"/>
              </w:rPr>
            </w:pPr>
            <w:bookmarkStart w:id="4" w:name="_Hlk89917101"/>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Physical channel design framework: Required changes to NR sidelink physical channel structures and procedures to operate on unlicensed spectrum</w:t>
            </w:r>
            <w:bookmarkEnd w:id="4"/>
          </w:p>
          <w:p w14:paraId="5D2254AB" w14:textId="77777777" w:rsidR="002754A9" w:rsidRPr="00E5465C" w:rsidRDefault="002754A9">
            <w:pPr>
              <w:spacing w:before="60" w:after="60"/>
              <w:ind w:left="1418" w:hanging="284"/>
              <w:rPr>
                <w:rFonts w:ascii="Times New Roman" w:eastAsia="Batang" w:hAnsi="Times New Roman"/>
                <w:lang w:eastAsia="ko-KR"/>
              </w:rPr>
            </w:pPr>
            <w:bookmarkStart w:id="5" w:name="_Hlk89917118"/>
            <w:r w:rsidRPr="00E5465C">
              <w:rPr>
                <w:rFonts w:ascii="Times New Roman" w:eastAsia="Batang" w:hAnsi="Times New Roman"/>
                <w:lang w:eastAsia="ko-KR"/>
              </w:rPr>
              <w:t>o</w:t>
            </w:r>
            <w:r w:rsidRPr="00E5465C">
              <w:rPr>
                <w:rFonts w:ascii="Times New Roman" w:eastAsia="Batang" w:hAnsi="Times New Roman"/>
                <w:lang w:eastAsia="ko-KR"/>
              </w:rPr>
              <w:tab/>
              <w:t xml:space="preserve">The existing NR sidelink and NR-U channel structure shall be reused </w:t>
            </w:r>
            <w:bookmarkEnd w:id="5"/>
            <w:r w:rsidRPr="00E5465C">
              <w:rPr>
                <w:rFonts w:ascii="Times New Roman" w:eastAsia="Batang" w:hAnsi="Times New Roman"/>
                <w:lang w:eastAsia="ko-KR"/>
              </w:rPr>
              <w:t>as the baseline.</w:t>
            </w:r>
          </w:p>
          <w:p w14:paraId="0917187D" w14:textId="77777777" w:rsidR="002754A9" w:rsidRPr="00E5465C" w:rsidRDefault="002754A9">
            <w:pPr>
              <w:spacing w:before="60" w:after="60"/>
              <w:ind w:left="993" w:hanging="284"/>
              <w:rPr>
                <w:rFonts w:ascii="Times New Roman" w:eastAsia="Batang" w:hAnsi="Times New Roman"/>
                <w:lang w:eastAsia="ko-KR"/>
              </w:rPr>
            </w:pPr>
            <w:bookmarkStart w:id="6" w:name="_Hlk89917140"/>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 specific enhancements for existing NR SL feature</w:t>
            </w:r>
            <w:bookmarkEnd w:id="6"/>
          </w:p>
          <w:p w14:paraId="56132A42" w14:textId="77777777" w:rsidR="002754A9" w:rsidRPr="00E5465C" w:rsidRDefault="002754A9">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The study should focus on FR1 unlicensed bands (n46 and n96/n102) and is to be completed by RAN#98</w:t>
            </w:r>
            <w:bookmarkStart w:id="7" w:name="_Hlk89917215"/>
            <w:r w:rsidRPr="00E5465C">
              <w:rPr>
                <w:rFonts w:ascii="Times New Roman" w:eastAsia="Batang" w:hAnsi="Times New Roman"/>
                <w:lang w:eastAsia="ko-KR"/>
              </w:rPr>
              <w:t>.</w:t>
            </w:r>
            <w:bookmarkEnd w:id="7"/>
          </w:p>
          <w:p w14:paraId="3848FE51" w14:textId="77777777" w:rsidR="002754A9" w:rsidRPr="00E5465C" w:rsidRDefault="002754A9">
            <w:pPr>
              <w:spacing w:before="60" w:after="60"/>
              <w:ind w:left="993" w:hanging="284"/>
              <w:rPr>
                <w:rFonts w:ascii="Times New Roman"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0716F29" w14:textId="1D63C468" w:rsidR="002754A9" w:rsidRDefault="002754A9" w:rsidP="002754A9">
      <w:pPr>
        <w:pStyle w:val="ListParagraph"/>
        <w:spacing w:before="120" w:after="120"/>
        <w:ind w:left="0"/>
        <w:contextualSpacing w:val="0"/>
        <w:jc w:val="both"/>
        <w:rPr>
          <w:lang w:val="en-US"/>
        </w:rPr>
      </w:pPr>
      <w:r w:rsidRPr="00E5465C">
        <w:rPr>
          <w:lang w:val="en-US"/>
        </w:rPr>
        <w:t xml:space="preserve">In this contribution, we discuss aspects related to the </w:t>
      </w:r>
      <w:r w:rsidR="00F17F50">
        <w:rPr>
          <w:lang w:val="en-US"/>
        </w:rPr>
        <w:t>consistent LBT failure procedure and its impact on the HARQ procedure.</w:t>
      </w:r>
    </w:p>
    <w:p w14:paraId="661A244B" w14:textId="77777777" w:rsidR="003D244A" w:rsidRPr="003D244A" w:rsidRDefault="003D244A" w:rsidP="003D244A">
      <w:pPr>
        <w:pStyle w:val="ListParagraph"/>
        <w:spacing w:before="120" w:after="120"/>
        <w:ind w:left="0"/>
        <w:contextualSpacing w:val="0"/>
        <w:jc w:val="both"/>
        <w:rPr>
          <w:lang w:val="en-US"/>
        </w:rPr>
      </w:pPr>
      <w:r w:rsidRPr="003D244A">
        <w:rPr>
          <w:lang w:val="en-US"/>
        </w:rPr>
        <w:t>In RAN2#119bis-e it was agreed that SL-U should support consistent LBT failure detection procedure, however it is still open at which granularity the consistent LBT failure should be declared as well as what is the procedure that a device should follow to recover from it. The related agreements are as follows:</w:t>
      </w:r>
    </w:p>
    <w:tbl>
      <w:tblPr>
        <w:tblStyle w:val="TableGrid"/>
        <w:tblW w:w="0" w:type="auto"/>
        <w:tblInd w:w="-5" w:type="dxa"/>
        <w:tblLook w:val="04A0" w:firstRow="1" w:lastRow="0" w:firstColumn="1" w:lastColumn="0" w:noHBand="0" w:noVBand="1"/>
      </w:tblPr>
      <w:tblGrid>
        <w:gridCol w:w="9636"/>
      </w:tblGrid>
      <w:tr w:rsidR="003D244A" w14:paraId="40AE6E06" w14:textId="77777777" w:rsidTr="003D244A">
        <w:tc>
          <w:tcPr>
            <w:tcW w:w="9636" w:type="dxa"/>
          </w:tcPr>
          <w:p w14:paraId="13EF343B" w14:textId="77777777" w:rsidR="003D244A" w:rsidRPr="00872A73" w:rsidRDefault="003D244A">
            <w:pPr>
              <w:spacing w:before="240" w:after="120"/>
              <w:jc w:val="both"/>
            </w:pPr>
            <w:r w:rsidRPr="00872A73">
              <w:t>1: SL-specific LBT failure indication from PHY is needed for SL-specific consistent LBT failure detection in the MAC. How/whether it is used for other purposes can be further discussed.</w:t>
            </w:r>
          </w:p>
          <w:p w14:paraId="5AB36CE3" w14:textId="77777777" w:rsidR="003D244A" w:rsidRPr="00667E3F" w:rsidRDefault="003D244A">
            <w:pPr>
              <w:spacing w:before="240" w:after="120"/>
              <w:jc w:val="both"/>
            </w:pPr>
            <w:r w:rsidRPr="00667E3F">
              <w:t>2: Support SL-specific consistent LBT failure detection and recovery procedure in the MAC for SL-U. Details of recovery to be further worked on granularity of (consistent) LBT failure.</w:t>
            </w:r>
          </w:p>
          <w:p w14:paraId="306515CF" w14:textId="77777777" w:rsidR="003D244A" w:rsidRPr="00872A73" w:rsidRDefault="003D244A">
            <w:pPr>
              <w:spacing w:before="240"/>
              <w:jc w:val="both"/>
            </w:pPr>
            <w:r w:rsidRPr="00667E3F">
              <w:t>3: Send LS to RAN1 asking “When an SL-specific LBT failure indication is notified for an SL transmission by the PHY, in which resource granularity the SL-specific LBT failure can be considered as being detected (e.g. per Resource Pool, per RB set, per SL BWP, etc.)?</w:t>
            </w:r>
          </w:p>
          <w:p w14:paraId="31027BC5" w14:textId="77777777" w:rsidR="003D244A" w:rsidRPr="00872A73" w:rsidRDefault="003D244A" w:rsidP="003D244A">
            <w:pPr>
              <w:pStyle w:val="ListParagraph"/>
              <w:numPr>
                <w:ilvl w:val="0"/>
                <w:numId w:val="10"/>
              </w:numPr>
              <w:overflowPunct/>
              <w:autoSpaceDE/>
              <w:autoSpaceDN/>
              <w:adjustRightInd/>
              <w:spacing w:after="0"/>
              <w:jc w:val="both"/>
              <w:textAlignment w:val="auto"/>
            </w:pPr>
            <w:r w:rsidRPr="00872A73">
              <w:t>Detailed wording can be discussed during the email discussion. Some background information (e.g. why/what we (actually) ask) can be also provided.</w:t>
            </w:r>
          </w:p>
          <w:p w14:paraId="4752F8AD" w14:textId="77777777" w:rsidR="003D244A" w:rsidRPr="00872A73" w:rsidRDefault="003D244A">
            <w:pPr>
              <w:spacing w:before="240" w:after="120"/>
              <w:jc w:val="both"/>
            </w:pPr>
            <w:r w:rsidRPr="00872A73">
              <w:lastRenderedPageBreak/>
              <w:t>4:</w:t>
            </w:r>
            <w:r>
              <w:t xml:space="preserve"> </w:t>
            </w:r>
            <w:r w:rsidRPr="00872A73">
              <w:t>As the general principle, reuse the consistent LBT failure detection procedure in NR-U as the baseline for SL-specific consistent LBT failure detection in SL-U.</w:t>
            </w:r>
          </w:p>
          <w:p w14:paraId="551AE2F5" w14:textId="77777777" w:rsidR="003D244A" w:rsidRPr="00872A73" w:rsidRDefault="003D244A">
            <w:pPr>
              <w:spacing w:before="240"/>
              <w:jc w:val="both"/>
            </w:pPr>
            <w:r w:rsidRPr="00872A73">
              <w:t>5:</w:t>
            </w:r>
            <w:r>
              <w:t xml:space="preserve"> </w:t>
            </w:r>
            <w:r w:rsidRPr="00872A73">
              <w:t>As in NR-U, introduce the following parameters and variables for the SL-specific consistent LBT failure detection in SL-U as the baseline:</w:t>
            </w:r>
          </w:p>
          <w:p w14:paraId="0381B03E" w14:textId="77777777" w:rsidR="003D244A" w:rsidRPr="00872A73" w:rsidRDefault="003D244A" w:rsidP="003D244A">
            <w:pPr>
              <w:pStyle w:val="ListParagraph"/>
              <w:numPr>
                <w:ilvl w:val="0"/>
                <w:numId w:val="9"/>
              </w:numPr>
              <w:overflowPunct/>
              <w:autoSpaceDE/>
              <w:autoSpaceDN/>
              <w:adjustRightInd/>
              <w:spacing w:before="240" w:after="120"/>
              <w:jc w:val="both"/>
              <w:textAlignment w:val="auto"/>
            </w:pPr>
            <w:r w:rsidRPr="00872A73">
              <w:t>An SL-specific LBT failure indication counter (e.g. SL_LBT_COUNTER);</w:t>
            </w:r>
          </w:p>
          <w:p w14:paraId="2152E8D5" w14:textId="77777777" w:rsidR="003D244A" w:rsidRPr="00872A73" w:rsidRDefault="003D244A" w:rsidP="003D244A">
            <w:pPr>
              <w:pStyle w:val="ListParagraph"/>
              <w:numPr>
                <w:ilvl w:val="0"/>
                <w:numId w:val="9"/>
              </w:numPr>
              <w:overflowPunct/>
              <w:autoSpaceDE/>
              <w:autoSpaceDN/>
              <w:adjustRightInd/>
              <w:spacing w:before="240" w:after="120"/>
              <w:jc w:val="both"/>
              <w:textAlignment w:val="auto"/>
            </w:pPr>
            <w:r w:rsidRPr="00872A73">
              <w:t xml:space="preserve">An SL-specific maximum LBT failure instance count threshold (e.g. </w:t>
            </w:r>
            <w:proofErr w:type="spellStart"/>
            <w:r w:rsidRPr="00872A73">
              <w:t>sl</w:t>
            </w:r>
            <w:proofErr w:type="spellEnd"/>
            <w:r w:rsidRPr="00872A73">
              <w:t>-LBT-</w:t>
            </w:r>
            <w:proofErr w:type="spellStart"/>
            <w:r w:rsidRPr="00872A73">
              <w:t>FailureInstanceMaxCount</w:t>
            </w:r>
            <w:proofErr w:type="spellEnd"/>
            <w:r w:rsidRPr="00872A73">
              <w:t>);</w:t>
            </w:r>
          </w:p>
          <w:p w14:paraId="04BAF099" w14:textId="77777777" w:rsidR="003D244A" w:rsidRPr="00872A73" w:rsidRDefault="003D244A" w:rsidP="003D244A">
            <w:pPr>
              <w:pStyle w:val="ListParagraph"/>
              <w:numPr>
                <w:ilvl w:val="0"/>
                <w:numId w:val="9"/>
              </w:numPr>
              <w:overflowPunct/>
              <w:autoSpaceDE/>
              <w:autoSpaceDN/>
              <w:adjustRightInd/>
              <w:spacing w:before="240" w:after="120"/>
              <w:jc w:val="both"/>
              <w:textAlignment w:val="auto"/>
            </w:pPr>
            <w:r w:rsidRPr="00872A73">
              <w:t xml:space="preserve">An SL-specific LBT failure detection timer (e.g. </w:t>
            </w:r>
            <w:proofErr w:type="spellStart"/>
            <w:r w:rsidRPr="00872A73">
              <w:t>sl</w:t>
            </w:r>
            <w:proofErr w:type="spellEnd"/>
            <w:r w:rsidRPr="00872A73">
              <w:t>-LBT-</w:t>
            </w:r>
            <w:proofErr w:type="spellStart"/>
            <w:r w:rsidRPr="00872A73">
              <w:t>FailureDetectionTimer</w:t>
            </w:r>
            <w:proofErr w:type="spellEnd"/>
            <w:r w:rsidRPr="00872A73">
              <w:t>).</w:t>
            </w:r>
          </w:p>
          <w:p w14:paraId="12ACE06C" w14:textId="77777777" w:rsidR="003D244A" w:rsidRPr="00872A73" w:rsidRDefault="003D244A">
            <w:pPr>
              <w:spacing w:before="240"/>
              <w:jc w:val="both"/>
            </w:pPr>
            <w:r w:rsidRPr="00872A73">
              <w:t>6:</w:t>
            </w:r>
            <w:r>
              <w:t xml:space="preserve"> </w:t>
            </w:r>
            <w:r w:rsidRPr="00872A73">
              <w:t>Reuse the following MAC behaviors on TIMER/COUNTER handling in NR-U for SL-specific consistent LBT failure detection procedure in SL-U as the baseline:</w:t>
            </w:r>
          </w:p>
          <w:p w14:paraId="0D2A439D" w14:textId="77777777" w:rsidR="003D244A" w:rsidRPr="00872A73" w:rsidRDefault="003D244A" w:rsidP="003D244A">
            <w:pPr>
              <w:pStyle w:val="ListParagraph"/>
              <w:numPr>
                <w:ilvl w:val="0"/>
                <w:numId w:val="8"/>
              </w:numPr>
              <w:overflowPunct/>
              <w:autoSpaceDE/>
              <w:autoSpaceDN/>
              <w:adjustRightInd/>
              <w:spacing w:after="0"/>
              <w:jc w:val="both"/>
              <w:textAlignment w:val="auto"/>
            </w:pPr>
            <w:r w:rsidRPr="00872A73">
              <w:t>As in NR-U, if an SL-specific LBT failure indication is received from the lower layer, the SL-specific LBT failure indication counter (e.g. SL_LBT_COUNTER) is incremented by one.</w:t>
            </w:r>
          </w:p>
          <w:p w14:paraId="2970903D" w14:textId="77777777" w:rsidR="003D244A" w:rsidRPr="00872A73" w:rsidRDefault="003D244A" w:rsidP="003D244A">
            <w:pPr>
              <w:pStyle w:val="ListParagraph"/>
              <w:numPr>
                <w:ilvl w:val="0"/>
                <w:numId w:val="8"/>
              </w:numPr>
              <w:overflowPunct/>
              <w:autoSpaceDE/>
              <w:autoSpaceDN/>
              <w:adjustRightInd/>
              <w:spacing w:after="0"/>
              <w:jc w:val="both"/>
              <w:textAlignment w:val="auto"/>
            </w:pPr>
            <w:r w:rsidRPr="00872A73">
              <w:t xml:space="preserve">As in NR-U, if an SL-specific LBT failure indication is received from the lower layer, start or restart the SL-specific LBT failure detection timer (e.g. </w:t>
            </w:r>
            <w:proofErr w:type="spellStart"/>
            <w:r w:rsidRPr="00872A73">
              <w:t>sl</w:t>
            </w:r>
            <w:proofErr w:type="spellEnd"/>
            <w:r w:rsidRPr="00872A73">
              <w:t>-LBT-</w:t>
            </w:r>
            <w:proofErr w:type="spellStart"/>
            <w:r w:rsidRPr="00872A73">
              <w:t>FailureDetectionTimer</w:t>
            </w:r>
            <w:proofErr w:type="spellEnd"/>
            <w:r w:rsidRPr="00872A73">
              <w:t>)</w:t>
            </w:r>
          </w:p>
          <w:p w14:paraId="5E5A4275" w14:textId="77777777" w:rsidR="003D244A" w:rsidRPr="00872A73" w:rsidRDefault="003D244A" w:rsidP="003D244A">
            <w:pPr>
              <w:pStyle w:val="ListParagraph"/>
              <w:numPr>
                <w:ilvl w:val="0"/>
                <w:numId w:val="8"/>
              </w:numPr>
              <w:overflowPunct/>
              <w:autoSpaceDE/>
              <w:autoSpaceDN/>
              <w:adjustRightInd/>
              <w:spacing w:after="0"/>
              <w:jc w:val="both"/>
              <w:textAlignment w:val="auto"/>
            </w:pPr>
            <w:r w:rsidRPr="00872A73">
              <w:t xml:space="preserve">As in NR-U, if the SL-specific LBT failure indication counter value is equal to or larger than the SL-specific maximum LBT failure instance count threshold (e.g. </w:t>
            </w:r>
            <w:proofErr w:type="spellStart"/>
            <w:r w:rsidRPr="00872A73">
              <w:t>sl</w:t>
            </w:r>
            <w:proofErr w:type="spellEnd"/>
            <w:r w:rsidRPr="00872A73">
              <w:t>-LBT-</w:t>
            </w:r>
            <w:proofErr w:type="spellStart"/>
            <w:r w:rsidRPr="00872A73">
              <w:t>FailureInstanceMaxCount</w:t>
            </w:r>
            <w:proofErr w:type="spellEnd"/>
            <w:r w:rsidRPr="00872A73">
              <w:t>), consistent LBT failure is triggered/declared by the MAC entity.</w:t>
            </w:r>
          </w:p>
          <w:p w14:paraId="47B47B96" w14:textId="77777777" w:rsidR="003D244A" w:rsidRPr="00872A73" w:rsidRDefault="003D244A" w:rsidP="003D244A">
            <w:pPr>
              <w:pStyle w:val="ListParagraph"/>
              <w:numPr>
                <w:ilvl w:val="0"/>
                <w:numId w:val="8"/>
              </w:numPr>
              <w:overflowPunct/>
              <w:autoSpaceDE/>
              <w:autoSpaceDN/>
              <w:adjustRightInd/>
              <w:spacing w:after="0"/>
              <w:jc w:val="both"/>
              <w:textAlignment w:val="auto"/>
            </w:pPr>
            <w:r w:rsidRPr="00872A73">
              <w:t xml:space="preserve">As in NR-U, if the SL-specific LBT failure detection timer (e.g. </w:t>
            </w:r>
            <w:proofErr w:type="spellStart"/>
            <w:r w:rsidRPr="00872A73">
              <w:t>sl</w:t>
            </w:r>
            <w:proofErr w:type="spellEnd"/>
            <w:r w:rsidRPr="00872A73">
              <w:t>-LBT-</w:t>
            </w:r>
            <w:proofErr w:type="spellStart"/>
            <w:r w:rsidRPr="00872A73">
              <w:t>FailureDetectionTimer</w:t>
            </w:r>
            <w:proofErr w:type="spellEnd"/>
            <w:r w:rsidRPr="00872A73">
              <w:t>) expires, the SL-specific LBT failure indication counter (e.g. SL_LBT_COUNTER) is reset to 0.</w:t>
            </w:r>
          </w:p>
          <w:p w14:paraId="71F617B5" w14:textId="77777777" w:rsidR="003D244A" w:rsidRPr="00872A73" w:rsidRDefault="003D244A" w:rsidP="003D244A">
            <w:pPr>
              <w:pStyle w:val="ListParagraph"/>
              <w:numPr>
                <w:ilvl w:val="0"/>
                <w:numId w:val="8"/>
              </w:numPr>
              <w:overflowPunct/>
              <w:autoSpaceDE/>
              <w:autoSpaceDN/>
              <w:adjustRightInd/>
              <w:spacing w:after="0"/>
              <w:jc w:val="both"/>
              <w:textAlignment w:val="auto"/>
            </w:pPr>
            <w:r w:rsidRPr="00872A73">
              <w:t xml:space="preserve">As in NR-U, if the maximum LBT failure instance count threshold (e.g. </w:t>
            </w:r>
            <w:proofErr w:type="spellStart"/>
            <w:r w:rsidRPr="00872A73">
              <w:t>sl</w:t>
            </w:r>
            <w:proofErr w:type="spellEnd"/>
            <w:r w:rsidRPr="00872A73">
              <w:t>-LBT-</w:t>
            </w:r>
            <w:proofErr w:type="spellStart"/>
            <w:r w:rsidRPr="00872A73">
              <w:t>FailureInstanceMaxCount</w:t>
            </w:r>
            <w:proofErr w:type="spellEnd"/>
            <w:r w:rsidRPr="00872A73">
              <w:t xml:space="preserve">) or SL-specific LBT failure detection timer (e.g. </w:t>
            </w:r>
            <w:proofErr w:type="spellStart"/>
            <w:r w:rsidRPr="00872A73">
              <w:t>sl</w:t>
            </w:r>
            <w:proofErr w:type="spellEnd"/>
            <w:r w:rsidRPr="00872A73">
              <w:t>-LBT-</w:t>
            </w:r>
            <w:proofErr w:type="spellStart"/>
            <w:r w:rsidRPr="00872A73">
              <w:t>FailureDetectionTimer</w:t>
            </w:r>
            <w:proofErr w:type="spellEnd"/>
            <w:r w:rsidRPr="00872A73">
              <w:t>) is reconfigured, SL-specific LBT failure indication counter (e.g. SL_LBT_COUNTER) is reset to 0.</w:t>
            </w:r>
          </w:p>
          <w:p w14:paraId="08F88261" w14:textId="77777777" w:rsidR="003D244A" w:rsidRDefault="003D244A">
            <w:pPr>
              <w:spacing w:before="240"/>
              <w:jc w:val="both"/>
              <w:rPr>
                <w:rFonts w:cs="Arial"/>
                <w:color w:val="000000"/>
                <w:lang w:eastAsia="zh-CN"/>
              </w:rPr>
            </w:pPr>
            <w:r w:rsidRPr="00872A73">
              <w:t>7:</w:t>
            </w:r>
            <w:r>
              <w:t xml:space="preserve"> </w:t>
            </w:r>
            <w:r w:rsidRPr="00872A73">
              <w:t>Support the mechanism that a mode-1 UE can indicate the SL-specific consistent LBT failure to the gNB. FFS on a mode-2 UE in RRC_CONNECTED.</w:t>
            </w:r>
          </w:p>
        </w:tc>
      </w:tr>
    </w:tbl>
    <w:p w14:paraId="1A15E23E" w14:textId="77777777" w:rsidR="003D244A" w:rsidRPr="003D244A" w:rsidRDefault="003D244A" w:rsidP="003D244A">
      <w:pPr>
        <w:pStyle w:val="ListParagraph"/>
        <w:spacing w:before="120" w:after="120"/>
        <w:ind w:left="0"/>
        <w:contextualSpacing w:val="0"/>
        <w:jc w:val="both"/>
        <w:rPr>
          <w:lang w:val="en-US"/>
        </w:rPr>
      </w:pPr>
      <w:r w:rsidRPr="003D244A">
        <w:rPr>
          <w:lang w:val="en-US"/>
        </w:rPr>
        <w:lastRenderedPageBreak/>
        <w:t>In RAN2#120 the further agreements were made regarding SL consistent LBT failure detection:</w:t>
      </w:r>
    </w:p>
    <w:tbl>
      <w:tblPr>
        <w:tblStyle w:val="TableGrid"/>
        <w:tblW w:w="0" w:type="auto"/>
        <w:tblInd w:w="-5" w:type="dxa"/>
        <w:tblLook w:val="04A0" w:firstRow="1" w:lastRow="0" w:firstColumn="1" w:lastColumn="0" w:noHBand="0" w:noVBand="1"/>
      </w:tblPr>
      <w:tblGrid>
        <w:gridCol w:w="9636"/>
      </w:tblGrid>
      <w:tr w:rsidR="003D244A" w14:paraId="6B2161E9" w14:textId="77777777" w:rsidTr="003D244A">
        <w:tc>
          <w:tcPr>
            <w:tcW w:w="9636" w:type="dxa"/>
          </w:tcPr>
          <w:p w14:paraId="54952DBA" w14:textId="77777777" w:rsidR="003D244A" w:rsidRDefault="003D244A">
            <w:pPr>
              <w:jc w:val="both"/>
            </w:pPr>
            <w:r>
              <w:t xml:space="preserve">Agreements on cast type/DST/unicast link specific SL consistent LBT failure detection </w:t>
            </w:r>
          </w:p>
          <w:p w14:paraId="7A08242A" w14:textId="77777777" w:rsidR="003D244A" w:rsidRDefault="003D244A">
            <w:pPr>
              <w:jc w:val="both"/>
            </w:pPr>
            <w:r>
              <w:t>1: Working assumption: SL-specific consistent LBT failure detection is not relevant to cast type/DST/unicast link.</w:t>
            </w:r>
          </w:p>
          <w:p w14:paraId="7C498E79" w14:textId="77777777" w:rsidR="003D244A" w:rsidRDefault="003D244A">
            <w:pPr>
              <w:jc w:val="both"/>
            </w:pPr>
            <w:r>
              <w:t>Agreements on mode 2 UE in RRC connected</w:t>
            </w:r>
          </w:p>
          <w:p w14:paraId="2CEBBF94" w14:textId="77777777" w:rsidR="003D244A" w:rsidRDefault="003D244A">
            <w:pPr>
              <w:jc w:val="both"/>
            </w:pPr>
            <w:r>
              <w:t xml:space="preserve">1: </w:t>
            </w:r>
            <w:r>
              <w:tab/>
              <w:t>In SL-U, support the mechanism that a mode-2 UE in RRC_CONNECTED can indicate the SL-specific consistent LBT failure to the gNB.</w:t>
            </w:r>
          </w:p>
        </w:tc>
      </w:tr>
    </w:tbl>
    <w:p w14:paraId="5B6885BC" w14:textId="13807A7E" w:rsidR="00667E3F" w:rsidRDefault="00667E3F" w:rsidP="00CB4910">
      <w:pPr>
        <w:pStyle w:val="Heading1"/>
      </w:pPr>
      <w:r>
        <w:t>2</w:t>
      </w:r>
      <w:r>
        <w:tab/>
        <w:t xml:space="preserve">On Consistent LBT </w:t>
      </w:r>
      <w:r w:rsidR="00536DB6">
        <w:t>failure granularity</w:t>
      </w:r>
    </w:p>
    <w:p w14:paraId="49701147" w14:textId="77777777" w:rsidR="00242462" w:rsidRDefault="00242462" w:rsidP="00242462">
      <w:pPr>
        <w:spacing w:after="120"/>
        <w:jc w:val="both"/>
        <w:rPr>
          <w:bCs/>
          <w:iCs/>
        </w:rPr>
      </w:pPr>
      <w:bookmarkStart w:id="8" w:name="_Hlk115123973"/>
      <w:bookmarkStart w:id="9" w:name="Proposal32656"/>
      <w:r>
        <w:rPr>
          <w:bCs/>
          <w:iCs/>
        </w:rPr>
        <w:t>In NR-U a UE can detect consistent uplink LBT failures per BWP, which is then reported to the serving gNB. The high level description of this reporting is captured in TS 38.300 as follows:</w:t>
      </w:r>
    </w:p>
    <w:tbl>
      <w:tblPr>
        <w:tblStyle w:val="TableGrid"/>
        <w:tblW w:w="0" w:type="auto"/>
        <w:tblLook w:val="04A0" w:firstRow="1" w:lastRow="0" w:firstColumn="1" w:lastColumn="0" w:noHBand="0" w:noVBand="1"/>
      </w:tblPr>
      <w:tblGrid>
        <w:gridCol w:w="9629"/>
      </w:tblGrid>
      <w:tr w:rsidR="00242462" w14:paraId="04279621" w14:textId="77777777">
        <w:tc>
          <w:tcPr>
            <w:tcW w:w="9629" w:type="dxa"/>
          </w:tcPr>
          <w:p w14:paraId="6B53AD2D" w14:textId="77777777" w:rsidR="00242462" w:rsidRDefault="00242462">
            <w:pPr>
              <w:spacing w:after="120"/>
              <w:jc w:val="both"/>
              <w:rPr>
                <w:bCs/>
                <w:iCs/>
              </w:rPr>
            </w:pPr>
            <w:r>
              <w:t xml:space="preserve">When the UE detects consistent uplink LBT failures, it takes actions as specified in TS 38.321 [6]. The detection is per Bandwidth Part (BWP) and based on all uplink transmissions within this BWP. When consistent uplink LBT failures are detected on </w:t>
            </w:r>
            <w:proofErr w:type="spellStart"/>
            <w:r>
              <w:t>SCell</w:t>
            </w:r>
            <w:proofErr w:type="spellEnd"/>
            <w:r>
              <w:t xml:space="preserve">(s), the UE reports this to the corresponding gNB (MN for MCG, SN for SCG) via MAC CE on a different serving cell than the </w:t>
            </w:r>
            <w:proofErr w:type="spellStart"/>
            <w:r>
              <w:t>SCell</w:t>
            </w:r>
            <w:proofErr w:type="spellEnd"/>
            <w:r>
              <w:t xml:space="preserve">(s) where the failures were detected. If no resources are available to transmit the MAC CE, a Scheduling Request (SR) can be transmitted by the UE. When consistent uplink LBT failures are detected on </w:t>
            </w:r>
            <w:proofErr w:type="spellStart"/>
            <w:r>
              <w:t>SpCell</w:t>
            </w:r>
            <w:proofErr w:type="spellEnd"/>
            <w:r>
              <w:t xml:space="preserve">, the UE switches to another UL BWP with configured RACH resources on that cell, initiates RACH, and reports the failure via MAC CE. When multiple UL BWPs are available for switching, it is up to the UE implementation which one to select. For </w:t>
            </w:r>
            <w:proofErr w:type="spellStart"/>
            <w:r>
              <w:t>PSCell</w:t>
            </w:r>
            <w:proofErr w:type="spellEnd"/>
            <w:r>
              <w:t xml:space="preserve">, if consistent uplink LBT failures are detected on all the UL BWPs with configured RACH resources, the UE declares SCG RLF and reports the failure to the MN via </w:t>
            </w:r>
            <w:proofErr w:type="spellStart"/>
            <w:r>
              <w:t>SCGFailureInformation</w:t>
            </w:r>
            <w:proofErr w:type="spellEnd"/>
            <w:r>
              <w:t xml:space="preserve">. </w:t>
            </w:r>
            <w:r>
              <w:lastRenderedPageBreak/>
              <w:t xml:space="preserve">For </w:t>
            </w:r>
            <w:proofErr w:type="spellStart"/>
            <w:r>
              <w:t>PCell</w:t>
            </w:r>
            <w:proofErr w:type="spellEnd"/>
            <w:r>
              <w:t>, if the uplink LBT failures are detected on all the UL BWP(s) with configured RACH resources, the UE declares RLF.</w:t>
            </w:r>
          </w:p>
        </w:tc>
      </w:tr>
    </w:tbl>
    <w:p w14:paraId="7DB73059" w14:textId="557FF100" w:rsidR="00242462" w:rsidRDefault="00242462" w:rsidP="00242462">
      <w:pPr>
        <w:spacing w:before="240" w:after="120"/>
        <w:jc w:val="both"/>
        <w:rPr>
          <w:bCs/>
          <w:iCs/>
        </w:rPr>
      </w:pPr>
      <w:r>
        <w:rPr>
          <w:bCs/>
          <w:iCs/>
        </w:rPr>
        <w:lastRenderedPageBreak/>
        <w:t>In R</w:t>
      </w:r>
      <w:r>
        <w:rPr>
          <w:lang w:val="en-US"/>
        </w:rPr>
        <w:t>AN2#119bis-e it was agreed that SL-U should support consistent LBT failure detection procedure. However, a key aspect for the development of this procedure is the granularity at which t</w:t>
      </w:r>
      <w:r w:rsidRPr="00B26D14">
        <w:rPr>
          <w:lang w:val="en-US"/>
        </w:rPr>
        <w:t>he SL LBT failure</w:t>
      </w:r>
      <w:r>
        <w:rPr>
          <w:lang w:val="en-US"/>
        </w:rPr>
        <w:t xml:space="preserve"> is </w:t>
      </w:r>
      <w:r w:rsidRPr="00B26D14">
        <w:rPr>
          <w:lang w:val="en-US"/>
        </w:rPr>
        <w:t>detected</w:t>
      </w:r>
      <w:r>
        <w:rPr>
          <w:lang w:val="en-US"/>
        </w:rPr>
        <w:t xml:space="preserve"> by the MAC, which in turn also reflects the scope of the LBT recovery procedure. </w:t>
      </w:r>
      <w:r>
        <w:rPr>
          <w:bCs/>
          <w:iCs/>
        </w:rPr>
        <w:t>This granularity can be at least as follows: (</w:t>
      </w:r>
      <w:proofErr w:type="spellStart"/>
      <w:r>
        <w:rPr>
          <w:bCs/>
          <w:iCs/>
        </w:rPr>
        <w:t>i</w:t>
      </w:r>
      <w:proofErr w:type="spellEnd"/>
      <w:r>
        <w:rPr>
          <w:bCs/>
          <w:iCs/>
        </w:rPr>
        <w:t xml:space="preserve">) </w:t>
      </w:r>
      <w:r w:rsidRPr="009D0C8C">
        <w:rPr>
          <w:bCs/>
          <w:iCs/>
        </w:rPr>
        <w:t>SL BWP</w:t>
      </w:r>
      <w:r>
        <w:rPr>
          <w:bCs/>
          <w:iCs/>
        </w:rPr>
        <w:t>, (ii) RB set or (iii) Resource pool.</w:t>
      </w:r>
    </w:p>
    <w:p w14:paraId="43DD494E" w14:textId="51E77C5A" w:rsidR="0066061C" w:rsidRDefault="00FD7FE6" w:rsidP="00FD7FE6">
      <w:pPr>
        <w:spacing w:before="240" w:after="120"/>
        <w:jc w:val="both"/>
      </w:pPr>
      <w:r>
        <w:t xml:space="preserve">In RAN2#120 it was assumed to have an incoming LS from RAN1 on the progress regarding the granularity of the LBT failure detection, but RAN1 decided not to send said LS in the last minute. From our understanding, the reason for this was simply that no time was left to agree on the wording, </w:t>
      </w:r>
      <w:r w:rsidR="00F55EF2">
        <w:t xml:space="preserve">because of lack of consensus, and that the recommendation from the </w:t>
      </w:r>
      <w:r w:rsidR="00E649F3">
        <w:t>moderator was to push the decision (back) to RAN2.</w:t>
      </w:r>
      <w:r w:rsidR="00B01DF6">
        <w:t xml:space="preserve"> Furthermore, we see that agreements on the </w:t>
      </w:r>
      <w:r w:rsidR="006100F9">
        <w:t xml:space="preserve">notification for i.e. </w:t>
      </w:r>
      <w:r w:rsidR="006100F9" w:rsidRPr="006100F9">
        <w:t>SL PSCCH/PSSCH/PSFCH</w:t>
      </w:r>
      <w:r w:rsidR="006100F9">
        <w:t xml:space="preserve">, or </w:t>
      </w:r>
      <w:r w:rsidR="006100F9" w:rsidRPr="006100F9">
        <w:t>SL S-SSB transmission</w:t>
      </w:r>
      <w:r w:rsidR="00196263">
        <w:t xml:space="preserve"> should be feasible on RB set level.</w:t>
      </w:r>
    </w:p>
    <w:p w14:paraId="38733A6C" w14:textId="4296E411" w:rsidR="00837C29" w:rsidRPr="00837C29" w:rsidRDefault="00837C29" w:rsidP="00837C29">
      <w:pPr>
        <w:pStyle w:val="BodyText"/>
        <w:spacing w:before="120"/>
        <w:rPr>
          <w:rFonts w:eastAsiaTheme="minorEastAsia"/>
          <w:lang w:eastAsia="zh-CN"/>
        </w:rPr>
      </w:pPr>
      <w:r>
        <w:rPr>
          <w:rFonts w:eastAsiaTheme="minorEastAsia"/>
          <w:lang w:eastAsia="zh-CN"/>
        </w:rPr>
        <w:t xml:space="preserve">From </w:t>
      </w:r>
      <w:hyperlink r:id="rId13" w:history="1">
        <w:r w:rsidRPr="00837C29">
          <w:rPr>
            <w:rStyle w:val="Hyperlink"/>
          </w:rPr>
          <w:t>R1-2212827</w:t>
        </w:r>
      </w:hyperlink>
      <w:r>
        <w:rPr>
          <w:rStyle w:val="ui-provider"/>
        </w:rPr>
        <w:t>:</w:t>
      </w:r>
    </w:p>
    <w:tbl>
      <w:tblPr>
        <w:tblStyle w:val="TableGrid"/>
        <w:tblW w:w="0" w:type="auto"/>
        <w:tblLook w:val="04A0" w:firstRow="1" w:lastRow="0" w:firstColumn="1" w:lastColumn="0" w:noHBand="0" w:noVBand="1"/>
      </w:tblPr>
      <w:tblGrid>
        <w:gridCol w:w="9631"/>
      </w:tblGrid>
      <w:tr w:rsidR="0066061C" w14:paraId="2F435EAA" w14:textId="77777777" w:rsidTr="0066061C">
        <w:tc>
          <w:tcPr>
            <w:tcW w:w="9631" w:type="dxa"/>
          </w:tcPr>
          <w:p w14:paraId="41964AC1" w14:textId="77777777" w:rsidR="00B01DF6" w:rsidRDefault="00B01DF6" w:rsidP="00B01DF6">
            <w:pPr>
              <w:pStyle w:val="BodyText"/>
              <w:spacing w:before="120"/>
              <w:rPr>
                <w:rFonts w:eastAsiaTheme="minorEastAsia"/>
                <w:lang w:eastAsia="zh-CN"/>
              </w:rPr>
            </w:pPr>
            <w:r>
              <w:rPr>
                <w:rFonts w:eastAsiaTheme="minorEastAsia"/>
                <w:lang w:eastAsia="zh-CN"/>
              </w:rPr>
              <w:t>During the offline discussion, the following proposals are agreeable to the group.</w:t>
            </w:r>
          </w:p>
          <w:p w14:paraId="3DBEAF98" w14:textId="77777777" w:rsidR="00B01DF6" w:rsidRDefault="00B01DF6" w:rsidP="00B01DF6">
            <w:pPr>
              <w:pStyle w:val="BodyText"/>
              <w:rPr>
                <w:rFonts w:eastAsiaTheme="minorEastAsia" w:cs="Times"/>
                <w:b/>
                <w:i/>
                <w:lang w:eastAsia="zh-CN"/>
              </w:rPr>
            </w:pPr>
            <w:r>
              <w:rPr>
                <w:rFonts w:eastAsiaTheme="minorEastAsia" w:cs="Times"/>
                <w:b/>
                <w:i/>
                <w:u w:val="single"/>
                <w:lang w:eastAsia="zh-CN"/>
              </w:rPr>
              <w:t>Moderator Proposal 2-1:</w:t>
            </w:r>
            <w:r>
              <w:rPr>
                <w:rFonts w:eastAsiaTheme="minorEastAsia" w:cs="Times"/>
                <w:b/>
                <w:i/>
                <w:lang w:eastAsia="zh-CN"/>
              </w:rPr>
              <w:t xml:space="preserve"> When a SL LBT failure is notified by PHY for a SL PSCCH/PSSCH/PSFCH transmission, it is feasible to indicate in the SL BWP, on which SL resource pool or which RB set(s) the failure has been detected. </w:t>
            </w:r>
          </w:p>
          <w:p w14:paraId="5763401F" w14:textId="77777777" w:rsidR="00B01DF6" w:rsidRDefault="00B01DF6" w:rsidP="00B01DF6">
            <w:pPr>
              <w:pStyle w:val="BodyText"/>
              <w:rPr>
                <w:rFonts w:eastAsiaTheme="minorEastAsia" w:cs="Times"/>
                <w:b/>
                <w:i/>
                <w:lang w:eastAsia="zh-CN"/>
              </w:rPr>
            </w:pPr>
            <w:r>
              <w:rPr>
                <w:rFonts w:eastAsiaTheme="minorEastAsia" w:cs="Times"/>
                <w:b/>
                <w:i/>
                <w:u w:val="single"/>
                <w:lang w:eastAsia="zh-CN"/>
              </w:rPr>
              <w:t>Moderator Proposal 2-2:</w:t>
            </w:r>
            <w:r>
              <w:rPr>
                <w:rFonts w:eastAsiaTheme="minorEastAsia" w:cs="Times"/>
                <w:b/>
                <w:i/>
                <w:lang w:eastAsia="zh-CN"/>
              </w:rPr>
              <w:t xml:space="preserve"> When a SL LBT failure is notified by PHY for a SL S-SSB transmission, it is feasible to indicate in the SL BWP on which RB sets the failure has been detected. </w:t>
            </w:r>
          </w:p>
          <w:p w14:paraId="159FC04D" w14:textId="77777777" w:rsidR="00B01DF6" w:rsidRDefault="00B01DF6" w:rsidP="00B01DF6">
            <w:pPr>
              <w:pStyle w:val="BodyText"/>
              <w:spacing w:before="120"/>
              <w:rPr>
                <w:rFonts w:eastAsiaTheme="minorEastAsia"/>
                <w:lang w:eastAsia="zh-CN"/>
              </w:rPr>
            </w:pPr>
          </w:p>
          <w:p w14:paraId="2CA1180D" w14:textId="77777777" w:rsidR="00B01DF6" w:rsidRDefault="00B01DF6" w:rsidP="00B01DF6">
            <w:pPr>
              <w:pStyle w:val="BodyText"/>
              <w:spacing w:before="120"/>
              <w:rPr>
                <w:rFonts w:eastAsiaTheme="minorEastAsia"/>
                <w:lang w:eastAsia="zh-CN"/>
              </w:rPr>
            </w:pPr>
            <w:r>
              <w:rPr>
                <w:rFonts w:eastAsiaTheme="minorEastAsia"/>
                <w:lang w:eastAsia="zh-CN"/>
              </w:rPr>
              <w:t xml:space="preserve">Regarding the </w:t>
            </w:r>
            <w:r>
              <w:rPr>
                <w:rFonts w:eastAsia="Malgun Gothic" w:cs="Times"/>
                <w:szCs w:val="20"/>
                <w:lang w:eastAsia="ko-KR"/>
              </w:rPr>
              <w:t>granularity of LBT failure indication</w:t>
            </w:r>
            <w:r>
              <w:rPr>
                <w:rFonts w:eastAsiaTheme="minorEastAsia"/>
                <w:lang w:eastAsia="zh-CN"/>
              </w:rPr>
              <w:t>, RAN1 cannot achieve a consensus on a</w:t>
            </w:r>
            <w:r>
              <w:rPr>
                <w:rFonts w:eastAsia="Malgun Gothic" w:cs="Times"/>
                <w:szCs w:val="20"/>
                <w:lang w:eastAsia="ko-KR"/>
              </w:rPr>
              <w:t xml:space="preserve"> guideline or recommendation for the granularity of LBT failure indication. Thus, the decision is left to RAN2. </w:t>
            </w:r>
          </w:p>
          <w:p w14:paraId="3B24688A" w14:textId="77777777" w:rsidR="00B01DF6" w:rsidRDefault="00B01DF6" w:rsidP="00B01DF6">
            <w:pPr>
              <w:pStyle w:val="BodyText"/>
              <w:rPr>
                <w:rFonts w:eastAsiaTheme="minorEastAsia" w:cs="Times"/>
                <w:b/>
                <w:i/>
                <w:lang w:eastAsia="zh-CN"/>
              </w:rPr>
            </w:pPr>
            <w:r>
              <w:rPr>
                <w:rFonts w:eastAsiaTheme="minorEastAsia" w:cs="Times"/>
                <w:b/>
                <w:i/>
                <w:u w:val="single"/>
                <w:lang w:eastAsia="zh-CN"/>
              </w:rPr>
              <w:t>Moderator Proposal 1-3:</w:t>
            </w:r>
            <w:r>
              <w:rPr>
                <w:rFonts w:eastAsiaTheme="minorEastAsia" w:cs="Times"/>
                <w:b/>
                <w:i/>
                <w:lang w:eastAsia="zh-CN"/>
              </w:rPr>
              <w:t xml:space="preserve"> It</w:t>
            </w:r>
            <w:r>
              <w:t xml:space="preserve"> </w:t>
            </w:r>
            <w:r>
              <w:rPr>
                <w:rFonts w:eastAsiaTheme="minorEastAsia" w:cs="Times"/>
                <w:b/>
                <w:i/>
                <w:lang w:eastAsia="zh-CN"/>
              </w:rPr>
              <w:t xml:space="preserve">is up to RAN2 to determine the granularity of SL LBT failure indication. </w:t>
            </w:r>
          </w:p>
          <w:p w14:paraId="7ECB4A59" w14:textId="77777777" w:rsidR="00B01DF6" w:rsidRDefault="00B01DF6" w:rsidP="00B01DF6">
            <w:pPr>
              <w:pStyle w:val="BodyText"/>
              <w:spacing w:before="120"/>
              <w:rPr>
                <w:rFonts w:eastAsiaTheme="minorEastAsia"/>
                <w:lang w:eastAsia="zh-CN"/>
              </w:rPr>
            </w:pPr>
          </w:p>
          <w:p w14:paraId="57F03ED4" w14:textId="77777777" w:rsidR="00B01DF6" w:rsidRDefault="00B01DF6" w:rsidP="00B01DF6">
            <w:pPr>
              <w:pStyle w:val="BodyText"/>
              <w:spacing w:before="120"/>
              <w:rPr>
                <w:rFonts w:eastAsiaTheme="minorEastAsia"/>
                <w:lang w:eastAsia="zh-CN"/>
              </w:rPr>
            </w:pPr>
            <w:r>
              <w:rPr>
                <w:rFonts w:eastAsiaTheme="minorEastAsia"/>
                <w:lang w:eastAsia="zh-CN"/>
              </w:rPr>
              <w:t>A draft LS based on the current situation is provided in R1-2212828.</w:t>
            </w:r>
          </w:p>
          <w:p w14:paraId="7E91825E" w14:textId="1F3EA6EB" w:rsidR="0066061C" w:rsidRPr="00837C29" w:rsidRDefault="0066061C" w:rsidP="00837C29">
            <w:pPr>
              <w:pStyle w:val="BodyText"/>
              <w:spacing w:before="120"/>
              <w:rPr>
                <w:rFonts w:eastAsiaTheme="minorEastAsia"/>
                <w:lang w:eastAsia="zh-CN"/>
              </w:rPr>
            </w:pPr>
          </w:p>
        </w:tc>
      </w:tr>
    </w:tbl>
    <w:p w14:paraId="7143A33E" w14:textId="2CB048F7" w:rsidR="00196263" w:rsidRPr="00196263" w:rsidRDefault="00196263" w:rsidP="00FD7FE6">
      <w:pPr>
        <w:spacing w:before="240" w:after="120"/>
        <w:jc w:val="both"/>
        <w:rPr>
          <w:b/>
          <w:bCs/>
          <w:lang w:val="en-US"/>
        </w:rPr>
      </w:pPr>
      <w:r>
        <w:rPr>
          <w:b/>
          <w:bCs/>
          <w:lang w:val="en-US"/>
        </w:rPr>
        <w:t>Observation 1: RAN1 finds it feasible to notify LBT failure</w:t>
      </w:r>
      <w:r w:rsidRPr="00196263">
        <w:rPr>
          <w:b/>
          <w:bCs/>
        </w:rPr>
        <w:t xml:space="preserve"> for SL PSCCH/PSSCH/PSFCH, or SL S-SSB transmission should be feasible on RB set level</w:t>
      </w:r>
      <w:r>
        <w:rPr>
          <w:b/>
          <w:bCs/>
        </w:rPr>
        <w:t>.</w:t>
      </w:r>
    </w:p>
    <w:p w14:paraId="2E81C832" w14:textId="616C9199" w:rsidR="00FD7FE6" w:rsidRDefault="00B01DF6" w:rsidP="00FD7FE6">
      <w:pPr>
        <w:spacing w:before="240" w:after="120"/>
        <w:jc w:val="both"/>
        <w:rPr>
          <w:bCs/>
          <w:iCs/>
        </w:rPr>
      </w:pPr>
      <w:r>
        <w:rPr>
          <w:b/>
          <w:bCs/>
          <w:lang w:val="en-US"/>
        </w:rPr>
        <w:t xml:space="preserve">Observation </w:t>
      </w:r>
      <w:r w:rsidR="00196263">
        <w:rPr>
          <w:b/>
          <w:bCs/>
          <w:lang w:val="en-US"/>
        </w:rPr>
        <w:t>2</w:t>
      </w:r>
      <w:r>
        <w:rPr>
          <w:b/>
          <w:bCs/>
          <w:lang w:val="en-US"/>
        </w:rPr>
        <w:t xml:space="preserve">: RAN1 is most likely to push the decision on the </w:t>
      </w:r>
      <w:r w:rsidR="00196263">
        <w:rPr>
          <w:b/>
          <w:bCs/>
          <w:lang w:val="en-US"/>
        </w:rPr>
        <w:t xml:space="preserve">consecutive </w:t>
      </w:r>
      <w:r>
        <w:rPr>
          <w:b/>
          <w:bCs/>
          <w:lang w:val="en-US"/>
        </w:rPr>
        <w:t>LBT failure granularity back to RAN2.</w:t>
      </w:r>
    </w:p>
    <w:p w14:paraId="77C6C7A8" w14:textId="77777777" w:rsidR="00242462" w:rsidRPr="00EE5474" w:rsidRDefault="00242462" w:rsidP="00242462">
      <w:pPr>
        <w:spacing w:before="240" w:after="120"/>
        <w:jc w:val="both"/>
        <w:rPr>
          <w:bCs/>
          <w:iCs/>
        </w:rPr>
      </w:pPr>
      <w:r w:rsidRPr="00EE5474">
        <w:rPr>
          <w:bCs/>
          <w:iCs/>
        </w:rPr>
        <w:t>If the granularity is at the SL BWP level (in line with the NR-U’s consistent LBT detection granularity), then the outcome of the recovery procedure is to have the SL device to transition to another SL BWP. However, during the RAN1 discussion it was agreed that SL-U will only support one SL BWP on a SL-U carrier (as in legacy R16/17 NR SL). Therefore, the only recovery procedure outcome would be to switch to another SL carrier (unlicensed or licensed). There are two drawbacks of this approach: (</w:t>
      </w:r>
      <w:proofErr w:type="spellStart"/>
      <w:r w:rsidRPr="00EE5474">
        <w:rPr>
          <w:bCs/>
          <w:iCs/>
        </w:rPr>
        <w:t>i</w:t>
      </w:r>
      <w:proofErr w:type="spellEnd"/>
      <w:r w:rsidRPr="00EE5474">
        <w:rPr>
          <w:bCs/>
          <w:iCs/>
        </w:rPr>
        <w:t xml:space="preserve">) multi-carrier support has not been introduced into the NR SL design yet; (ii) LBT failure across different RB sets could trigger the consecutive LBT failure detection, even though from a perspective of any of these RB sets the LBT failure rate would not be high. </w:t>
      </w:r>
    </w:p>
    <w:p w14:paraId="1FE665A7" w14:textId="77777777" w:rsidR="00242462" w:rsidRPr="00EE5474" w:rsidRDefault="00242462" w:rsidP="00242462">
      <w:pPr>
        <w:spacing w:before="240" w:after="120"/>
        <w:jc w:val="both"/>
        <w:rPr>
          <w:bCs/>
          <w:iCs/>
        </w:rPr>
      </w:pPr>
      <w:r w:rsidRPr="00EE5474">
        <w:rPr>
          <w:bCs/>
          <w:iCs/>
        </w:rPr>
        <w:t>If the granularity is at the RP level, then the outcome of the recovery procedure is to have the SL device to transition to another RP, which can be within the same or different SL carrier. The main drawback of this approach is that a RP can include multiple RB sets, therefore LBT failure across different RB sets could trigger the consecutive LBT failure detection, even though from a perspective of any of these RB sets the LBT failure rate would not be high.</w:t>
      </w:r>
    </w:p>
    <w:p w14:paraId="6627289F" w14:textId="1001B1B1" w:rsidR="00F92FB6" w:rsidRPr="00FD7FE6" w:rsidRDefault="00242462" w:rsidP="00FD7FE6">
      <w:pPr>
        <w:spacing w:before="240" w:after="120"/>
        <w:jc w:val="both"/>
      </w:pPr>
      <w:r>
        <w:t xml:space="preserve">If the granularity is at the RB set level (i.e. at LBT bandwidth level), then the outcome of the recovery procedure is to have the SL device to transition to another RB set. However, this considers a pure frequency domain allocation of the different RPs in a SL BWP. We could also have the case where 2 RPs are </w:t>
      </w:r>
      <w:proofErr w:type="spellStart"/>
      <w:r>
        <w:t>TDMed</w:t>
      </w:r>
      <w:proofErr w:type="spellEnd"/>
      <w:r>
        <w:t xml:space="preserve"> on the same RB sets. So if one of the RPs is heavily loaded while the other RPs are lightly loaded, LBT failures will be frequent on one RP and rare on the other RP, but all RB sets would be equally affected. So in this case only RB set level granularity would not be enough.</w:t>
      </w:r>
    </w:p>
    <w:p w14:paraId="4CE56693" w14:textId="11A9B82E" w:rsidR="00837C29" w:rsidRDefault="00837C29" w:rsidP="5F785E88">
      <w:pPr>
        <w:spacing w:after="240"/>
        <w:jc w:val="both"/>
        <w:rPr>
          <w:b/>
          <w:bCs/>
          <w:lang w:val="en-US"/>
        </w:rPr>
      </w:pPr>
      <w:r>
        <w:t xml:space="preserve">As RAN1 may not reach a conclusion, and </w:t>
      </w:r>
      <w:r w:rsidR="002A4DBE">
        <w:t xml:space="preserve">at least have the </w:t>
      </w:r>
      <w:r>
        <w:t>In the interest of time, we propose to start working on the consecutive LBT failure procedures based on this understanding as a working assumption.</w:t>
      </w:r>
    </w:p>
    <w:p w14:paraId="151D8AF9" w14:textId="1C6AEBD1" w:rsidR="00242462" w:rsidRPr="00375BCA" w:rsidRDefault="007375FF" w:rsidP="5F785E88">
      <w:pPr>
        <w:spacing w:after="240"/>
        <w:jc w:val="both"/>
        <w:rPr>
          <w:b/>
          <w:bCs/>
          <w:lang w:val="en-US"/>
        </w:rPr>
      </w:pPr>
      <w:r>
        <w:rPr>
          <w:b/>
          <w:bCs/>
          <w:lang w:val="en-US"/>
        </w:rPr>
        <w:lastRenderedPageBreak/>
        <w:t>Proposal</w:t>
      </w:r>
      <w:r w:rsidR="434F898C" w:rsidRPr="0CA8C70D">
        <w:rPr>
          <w:b/>
          <w:bCs/>
          <w:lang w:val="en-US"/>
        </w:rPr>
        <w:t xml:space="preserve"> 1: </w:t>
      </w:r>
      <w:bookmarkStart w:id="10" w:name="Proposal6181"/>
      <w:bookmarkStart w:id="11" w:name="Proposal57235"/>
      <w:bookmarkStart w:id="12" w:name="Proposal52439"/>
      <w:bookmarkStart w:id="13" w:name="Proposal13646"/>
      <w:bookmarkStart w:id="14" w:name="Proposal32635"/>
      <w:r w:rsidR="1428591B" w:rsidRPr="0CA8C70D">
        <w:rPr>
          <w:b/>
          <w:bCs/>
          <w:color w:val="2B579A"/>
          <w:lang w:val="en-US"/>
        </w:rPr>
        <w:fldChar w:fldCharType="begin"/>
      </w:r>
      <w:r w:rsidR="1428591B" w:rsidRPr="0CA8C70D">
        <w:rPr>
          <w:b/>
          <w:bCs/>
          <w:lang w:val="en-US"/>
        </w:rPr>
        <w:instrText xml:space="preserve"> SEQ Proposal \* Arabic </w:instrText>
      </w:r>
      <w:r w:rsidR="00D64500">
        <w:rPr>
          <w:b/>
          <w:bCs/>
          <w:color w:val="2B579A"/>
          <w:lang w:val="en-US"/>
        </w:rPr>
        <w:fldChar w:fldCharType="separate"/>
      </w:r>
      <w:r w:rsidR="1428591B" w:rsidRPr="0CA8C70D">
        <w:rPr>
          <w:b/>
          <w:bCs/>
          <w:color w:val="2B579A"/>
          <w:lang w:val="en-US"/>
        </w:rPr>
        <w:fldChar w:fldCharType="end"/>
      </w:r>
      <w:r w:rsidR="1428591B" w:rsidRPr="0CA8C70D">
        <w:rPr>
          <w:b/>
          <w:bCs/>
          <w:lang w:val="en-US"/>
        </w:rPr>
        <w:t xml:space="preserve"> RAN2 </w:t>
      </w:r>
      <w:r w:rsidR="55D66DED" w:rsidRPr="0CA8C70D">
        <w:rPr>
          <w:b/>
          <w:bCs/>
          <w:lang w:val="en-US"/>
        </w:rPr>
        <w:t xml:space="preserve">to </w:t>
      </w:r>
      <w:r w:rsidR="00197A0C">
        <w:rPr>
          <w:b/>
          <w:bCs/>
          <w:lang w:val="en-US"/>
        </w:rPr>
        <w:t>accept as a working assumption</w:t>
      </w:r>
      <w:r w:rsidR="02CA0311" w:rsidRPr="0CA8C70D">
        <w:rPr>
          <w:b/>
          <w:bCs/>
          <w:lang w:val="en-US"/>
        </w:rPr>
        <w:t xml:space="preserve"> </w:t>
      </w:r>
      <w:r w:rsidR="1428591B" w:rsidRPr="0CA8C70D">
        <w:rPr>
          <w:b/>
          <w:bCs/>
          <w:lang w:val="en-US"/>
        </w:rPr>
        <w:t xml:space="preserve">that the consecutive LBT failure detection should consider at least RB set </w:t>
      </w:r>
      <w:r w:rsidR="2C1D0FA8" w:rsidRPr="0CA8C70D">
        <w:rPr>
          <w:b/>
          <w:bCs/>
          <w:lang w:val="en-US"/>
        </w:rPr>
        <w:t>and/</w:t>
      </w:r>
      <w:r w:rsidR="1428591B" w:rsidRPr="0CA8C70D">
        <w:rPr>
          <w:b/>
          <w:bCs/>
          <w:lang w:val="en-US"/>
        </w:rPr>
        <w:t xml:space="preserve">or </w:t>
      </w:r>
      <w:r w:rsidR="3CCCEEB5" w:rsidRPr="0CA8C70D">
        <w:rPr>
          <w:b/>
          <w:bCs/>
          <w:lang w:val="en-US"/>
        </w:rPr>
        <w:t>resource pool</w:t>
      </w:r>
      <w:r w:rsidR="00197A0C">
        <w:rPr>
          <w:b/>
          <w:bCs/>
          <w:lang w:val="en-US"/>
        </w:rPr>
        <w:t xml:space="preserve"> and </w:t>
      </w:r>
      <w:r w:rsidR="001656A2">
        <w:rPr>
          <w:b/>
          <w:bCs/>
          <w:lang w:val="en-US"/>
        </w:rPr>
        <w:t xml:space="preserve">may start </w:t>
      </w:r>
      <w:r w:rsidR="00F92FB6">
        <w:rPr>
          <w:b/>
          <w:bCs/>
          <w:lang w:val="en-US"/>
        </w:rPr>
        <w:t>work based on this assumption</w:t>
      </w:r>
      <w:r w:rsidR="001656A2">
        <w:rPr>
          <w:b/>
          <w:bCs/>
          <w:lang w:val="en-US"/>
        </w:rPr>
        <w:t>.</w:t>
      </w:r>
      <w:r w:rsidR="1428591B" w:rsidRPr="0CA8C70D">
        <w:rPr>
          <w:b/>
          <w:bCs/>
          <w:lang w:val="en-US"/>
        </w:rPr>
        <w:t xml:space="preserve"> </w:t>
      </w:r>
    </w:p>
    <w:bookmarkEnd w:id="8"/>
    <w:bookmarkEnd w:id="9"/>
    <w:bookmarkEnd w:id="10"/>
    <w:bookmarkEnd w:id="11"/>
    <w:bookmarkEnd w:id="12"/>
    <w:bookmarkEnd w:id="13"/>
    <w:bookmarkEnd w:id="14"/>
    <w:p w14:paraId="09E2F4E8" w14:textId="774BE917" w:rsidR="00DA3DC6" w:rsidRPr="0046112E" w:rsidRDefault="00DA3DC6" w:rsidP="00DA3DC6">
      <w:pPr>
        <w:pStyle w:val="Heading1"/>
      </w:pPr>
      <w:r>
        <w:t>3</w:t>
      </w:r>
      <w:r>
        <w:tab/>
      </w:r>
      <w:r w:rsidRPr="0046112E">
        <w:t xml:space="preserve">On </w:t>
      </w:r>
      <w:r>
        <w:t xml:space="preserve">the impact of </w:t>
      </w:r>
      <w:r w:rsidR="00BE7001">
        <w:t xml:space="preserve">consistent LBT procedure in the </w:t>
      </w:r>
      <w:r w:rsidRPr="0046112E">
        <w:t>HARQ fe</w:t>
      </w:r>
      <w:r w:rsidR="00BE7001">
        <w:t>edback procedure</w:t>
      </w:r>
    </w:p>
    <w:p w14:paraId="4E15705F" w14:textId="07730E08" w:rsidR="00084881" w:rsidRPr="00084881" w:rsidRDefault="00084881" w:rsidP="00084881">
      <w:pPr>
        <w:spacing w:before="240" w:after="120"/>
        <w:jc w:val="both"/>
      </w:pPr>
      <w:r w:rsidRPr="00084881">
        <w:t xml:space="preserve">The SL-specific consistent LBT failure detection (and recovery procedure) is a device centric occurrence and therefore has impact to any procedures where two or more devices interact. In this </w:t>
      </w:r>
      <w:r>
        <w:t xml:space="preserve">section </w:t>
      </w:r>
      <w:r w:rsidRPr="00084881">
        <w:t>we consider the impact on the HARQ feedback procedure.</w:t>
      </w:r>
    </w:p>
    <w:p w14:paraId="2C32F6F0" w14:textId="77777777" w:rsidR="00084881" w:rsidRPr="00F94089" w:rsidRDefault="00084881" w:rsidP="00084881">
      <w:pPr>
        <w:jc w:val="both"/>
        <w:rPr>
          <w:rFonts w:cs="Arial"/>
          <w:lang w:val="en-US"/>
        </w:rPr>
      </w:pPr>
      <w:r w:rsidRPr="00F94089">
        <w:rPr>
          <w:rFonts w:cs="Arial"/>
          <w:lang w:val="en-US"/>
        </w:rPr>
        <w:t>Consider the following use cases:</w:t>
      </w:r>
    </w:p>
    <w:p w14:paraId="3A381AF2" w14:textId="77777777" w:rsidR="00084881" w:rsidRPr="00F94089" w:rsidRDefault="00084881" w:rsidP="00084881">
      <w:pPr>
        <w:pStyle w:val="ListParagraph"/>
        <w:numPr>
          <w:ilvl w:val="0"/>
          <w:numId w:val="11"/>
        </w:numPr>
        <w:overflowPunct/>
        <w:autoSpaceDE/>
        <w:autoSpaceDN/>
        <w:adjustRightInd/>
        <w:spacing w:after="0"/>
        <w:jc w:val="both"/>
        <w:textAlignment w:val="auto"/>
        <w:rPr>
          <w:rFonts w:cs="Arial"/>
        </w:rPr>
      </w:pPr>
      <w:r w:rsidRPr="00F94089">
        <w:rPr>
          <w:rFonts w:cs="Arial"/>
        </w:rPr>
        <w:t>The Tx UE is experiencing consistent LBT failure in specific RB sets (or resource pools) and therefore is prevented from accessing those specific RB set (or resource pools);</w:t>
      </w:r>
    </w:p>
    <w:p w14:paraId="156E93E1" w14:textId="77777777" w:rsidR="00084881" w:rsidRPr="00F94089" w:rsidRDefault="00084881" w:rsidP="00084881">
      <w:pPr>
        <w:pStyle w:val="ListParagraph"/>
        <w:numPr>
          <w:ilvl w:val="1"/>
          <w:numId w:val="11"/>
        </w:numPr>
        <w:overflowPunct/>
        <w:autoSpaceDE/>
        <w:autoSpaceDN/>
        <w:adjustRightInd/>
        <w:spacing w:after="0"/>
        <w:jc w:val="both"/>
        <w:textAlignment w:val="auto"/>
        <w:rPr>
          <w:rFonts w:cs="Arial"/>
        </w:rPr>
      </w:pPr>
      <w:r w:rsidRPr="00F94089">
        <w:rPr>
          <w:rFonts w:cs="Arial"/>
        </w:rPr>
        <w:t>The Rx UE is experiencing consistent LBT failure in the same RB sets (or resource pools) as the Tx UE;</w:t>
      </w:r>
    </w:p>
    <w:p w14:paraId="4E2BC9AC" w14:textId="77777777" w:rsidR="00084881" w:rsidRPr="00F94089" w:rsidRDefault="00084881" w:rsidP="00084881">
      <w:pPr>
        <w:pStyle w:val="ListParagraph"/>
        <w:numPr>
          <w:ilvl w:val="1"/>
          <w:numId w:val="11"/>
        </w:numPr>
        <w:overflowPunct/>
        <w:autoSpaceDE/>
        <w:autoSpaceDN/>
        <w:adjustRightInd/>
        <w:spacing w:after="0"/>
        <w:jc w:val="both"/>
        <w:textAlignment w:val="auto"/>
        <w:rPr>
          <w:rFonts w:cs="Arial"/>
        </w:rPr>
      </w:pPr>
      <w:r w:rsidRPr="00F94089">
        <w:rPr>
          <w:rFonts w:cs="Arial"/>
        </w:rPr>
        <w:t>The Rx UE is not experiencing consistent LBT failure in the same RB set (or resource pools) as the Tx UE;</w:t>
      </w:r>
    </w:p>
    <w:p w14:paraId="00E4A866" w14:textId="6A9C2F24" w:rsidR="00084881" w:rsidRPr="00F94089" w:rsidRDefault="00084881" w:rsidP="00084881">
      <w:pPr>
        <w:pStyle w:val="ListParagraph"/>
        <w:numPr>
          <w:ilvl w:val="0"/>
          <w:numId w:val="11"/>
        </w:numPr>
        <w:overflowPunct/>
        <w:autoSpaceDE/>
        <w:autoSpaceDN/>
        <w:adjustRightInd/>
        <w:spacing w:after="0"/>
        <w:jc w:val="both"/>
        <w:textAlignment w:val="auto"/>
        <w:rPr>
          <w:rFonts w:cs="Arial"/>
        </w:rPr>
      </w:pPr>
      <w:r w:rsidRPr="00F94089">
        <w:rPr>
          <w:rFonts w:cs="Arial"/>
        </w:rPr>
        <w:t xml:space="preserve">The Tx UE is not experiencing consistent LBT failure in a specific RB set (or resource pool) and therefore it is able to access the resources in the RB set (or resource pool), i.e. by successfully performing an LBT (either Type 1 or 2, depending on if a </w:t>
      </w:r>
      <w:r w:rsidR="00474F6C">
        <w:rPr>
          <w:rFonts w:cs="Arial"/>
        </w:rPr>
        <w:t xml:space="preserve">valid </w:t>
      </w:r>
      <w:r w:rsidRPr="00F94089">
        <w:rPr>
          <w:rFonts w:cs="Arial"/>
        </w:rPr>
        <w:t>COT is available), and transmit its PSCCH/PSSCH which the associated SCI requests for a HARQ feedback via a PSFCH resource mapped to the PSCCH/PSSCH resource;</w:t>
      </w:r>
    </w:p>
    <w:p w14:paraId="5F1D0D85" w14:textId="77777777" w:rsidR="00084881" w:rsidRPr="00F94089" w:rsidRDefault="00084881" w:rsidP="00084881">
      <w:pPr>
        <w:pStyle w:val="ListParagraph"/>
        <w:numPr>
          <w:ilvl w:val="1"/>
          <w:numId w:val="11"/>
        </w:numPr>
        <w:overflowPunct/>
        <w:autoSpaceDE/>
        <w:autoSpaceDN/>
        <w:adjustRightInd/>
        <w:spacing w:after="0"/>
        <w:jc w:val="both"/>
        <w:textAlignment w:val="auto"/>
        <w:rPr>
          <w:rFonts w:cs="Arial"/>
        </w:rPr>
      </w:pPr>
      <w:r w:rsidRPr="00F94089">
        <w:rPr>
          <w:rFonts w:cs="Arial"/>
        </w:rPr>
        <w:t>The Rx UE is not experiencing consistent LBT failure in the RB set in which the PSFCH is mapped to (or resource pool) and therefore the Rx UE is able to provide HARQ feedback using the mapped PSFCH resource;</w:t>
      </w:r>
    </w:p>
    <w:p w14:paraId="789C978F" w14:textId="77777777" w:rsidR="00084881" w:rsidRPr="00F94089" w:rsidRDefault="00084881" w:rsidP="00084881">
      <w:pPr>
        <w:pStyle w:val="ListParagraph"/>
        <w:numPr>
          <w:ilvl w:val="1"/>
          <w:numId w:val="11"/>
        </w:numPr>
        <w:overflowPunct/>
        <w:autoSpaceDE/>
        <w:autoSpaceDN/>
        <w:adjustRightInd/>
        <w:spacing w:after="0"/>
        <w:jc w:val="both"/>
        <w:textAlignment w:val="auto"/>
        <w:rPr>
          <w:rFonts w:cs="Arial"/>
        </w:rPr>
      </w:pPr>
      <w:r w:rsidRPr="00F94089">
        <w:rPr>
          <w:rFonts w:cs="Arial"/>
        </w:rPr>
        <w:t xml:space="preserve">The Rx UE is experiencing consistent LBT failure in the RB set in which the PSFCH is mapped to (or resource pool) and therefore is unable to access the mapped PSFCH resource to provide the HARQ feedback. </w:t>
      </w:r>
    </w:p>
    <w:p w14:paraId="06DDF6F5" w14:textId="7E356389" w:rsidR="00084881" w:rsidRDefault="00084881" w:rsidP="0077476A">
      <w:pPr>
        <w:spacing w:before="240"/>
        <w:jc w:val="both"/>
        <w:rPr>
          <w:rFonts w:cs="Arial"/>
          <w:lang w:val="en-US"/>
        </w:rPr>
      </w:pPr>
      <w:r w:rsidRPr="00F94089">
        <w:rPr>
          <w:rFonts w:cs="Arial"/>
          <w:lang w:val="en-US"/>
        </w:rPr>
        <w:t xml:space="preserve">From these use cases, we can see that whenever </w:t>
      </w:r>
      <w:proofErr w:type="spellStart"/>
      <w:r w:rsidRPr="00F94089">
        <w:rPr>
          <w:rFonts w:cs="Arial"/>
          <w:lang w:val="en-US"/>
        </w:rPr>
        <w:t>b.ii</w:t>
      </w:r>
      <w:proofErr w:type="spellEnd"/>
      <w:r w:rsidRPr="00F94089">
        <w:rPr>
          <w:rFonts w:cs="Arial"/>
          <w:lang w:val="en-US"/>
        </w:rPr>
        <w:t xml:space="preserve"> occurs, then the Tx UE will</w:t>
      </w:r>
      <w:r w:rsidR="006800B9">
        <w:rPr>
          <w:rFonts w:cs="Arial"/>
          <w:lang w:val="en-US"/>
        </w:rPr>
        <w:t xml:space="preserve"> not receive </w:t>
      </w:r>
      <w:r w:rsidR="00D13663">
        <w:rPr>
          <w:rFonts w:cs="Arial"/>
          <w:lang w:val="en-US"/>
        </w:rPr>
        <w:t>the HARQ feedback and therefore</w:t>
      </w:r>
      <w:r w:rsidRPr="00F94089">
        <w:rPr>
          <w:rFonts w:cs="Arial"/>
          <w:lang w:val="en-US"/>
        </w:rPr>
        <w:t xml:space="preserve"> not know if it should or not perform an HARQ retransmission, so the communication cannot be assumed to be reliable. </w:t>
      </w:r>
    </w:p>
    <w:p w14:paraId="37AE8CF5" w14:textId="2AEA6A87" w:rsidR="00D13663" w:rsidRDefault="00D13663" w:rsidP="00D13663">
      <w:pPr>
        <w:spacing w:after="240"/>
        <w:jc w:val="both"/>
        <w:rPr>
          <w:b/>
          <w:lang w:val="en-US"/>
        </w:rPr>
      </w:pPr>
      <w:r w:rsidRPr="0C4DC73B">
        <w:rPr>
          <w:b/>
          <w:bCs/>
          <w:lang w:val="en-US"/>
        </w:rPr>
        <w:t xml:space="preserve">Proposal </w:t>
      </w:r>
      <w:r w:rsidRPr="5A708491">
        <w:rPr>
          <w:b/>
          <w:color w:val="2B579A"/>
          <w:lang w:val="en-US"/>
        </w:rPr>
        <w:fldChar w:fldCharType="begin"/>
      </w:r>
      <w:r w:rsidRPr="002137EB">
        <w:rPr>
          <w:b/>
          <w:lang w:val="en-US"/>
        </w:rPr>
        <w:instrText xml:space="preserve"> SEQ Proposal \* Arabic </w:instrText>
      </w:r>
      <w:r w:rsidRPr="5A708491">
        <w:rPr>
          <w:b/>
          <w:color w:val="2B579A"/>
          <w:lang w:val="en-US"/>
        </w:rPr>
        <w:fldChar w:fldCharType="separate"/>
      </w:r>
      <w:r w:rsidR="00DD449E">
        <w:rPr>
          <w:b/>
          <w:noProof/>
          <w:lang w:val="en-US"/>
        </w:rPr>
        <w:t>2</w:t>
      </w:r>
      <w:r w:rsidRPr="5A708491">
        <w:rPr>
          <w:b/>
          <w:color w:val="2B579A"/>
          <w:lang w:val="en-US"/>
        </w:rPr>
        <w:fldChar w:fldCharType="end"/>
      </w:r>
      <w:r w:rsidRPr="00375BCA">
        <w:rPr>
          <w:b/>
          <w:lang w:val="en-US"/>
        </w:rPr>
        <w:t xml:space="preserve">: RAN2 </w:t>
      </w:r>
      <w:r>
        <w:rPr>
          <w:b/>
          <w:lang w:val="en-US"/>
        </w:rPr>
        <w:t xml:space="preserve">to study the impact of </w:t>
      </w:r>
      <w:r w:rsidR="009C2EE3">
        <w:rPr>
          <w:b/>
          <w:lang w:val="en-US"/>
        </w:rPr>
        <w:t xml:space="preserve">SL-specific </w:t>
      </w:r>
      <w:r w:rsidRPr="00375BCA">
        <w:rPr>
          <w:b/>
          <w:lang w:val="en-US"/>
        </w:rPr>
        <w:t xml:space="preserve">consecutive LBT failure </w:t>
      </w:r>
      <w:r w:rsidRPr="0C4DC73B">
        <w:rPr>
          <w:b/>
          <w:bCs/>
          <w:lang w:val="en-US"/>
        </w:rPr>
        <w:t xml:space="preserve">detection </w:t>
      </w:r>
      <w:r w:rsidR="009C2EE3">
        <w:rPr>
          <w:b/>
          <w:bCs/>
          <w:lang w:val="en-US"/>
        </w:rPr>
        <w:t>in the SL HARQ procedure.</w:t>
      </w:r>
      <w:r w:rsidRPr="00375BCA">
        <w:rPr>
          <w:b/>
          <w:lang w:val="en-US"/>
        </w:rPr>
        <w:t xml:space="preserve"> </w:t>
      </w:r>
    </w:p>
    <w:p w14:paraId="6FC8F6EA" w14:textId="47935164" w:rsidR="00927F9E" w:rsidRDefault="00A72629" w:rsidP="0077476A">
      <w:pPr>
        <w:spacing w:before="240"/>
        <w:jc w:val="both"/>
        <w:rPr>
          <w:rFonts w:cs="Arial"/>
          <w:lang w:val="en-US"/>
        </w:rPr>
      </w:pPr>
      <w:r>
        <w:rPr>
          <w:rFonts w:cs="Arial"/>
          <w:lang w:val="en-US"/>
        </w:rPr>
        <w:t>To</w:t>
      </w:r>
      <w:r w:rsidR="00927F9E">
        <w:rPr>
          <w:rFonts w:cs="Arial"/>
          <w:lang w:val="en-US"/>
        </w:rPr>
        <w:t xml:space="preserve"> cope with the impact of SL-specific consecutive LBT failure </w:t>
      </w:r>
      <w:r w:rsidR="001F41F9">
        <w:rPr>
          <w:rFonts w:cs="Arial"/>
          <w:lang w:val="en-US"/>
        </w:rPr>
        <w:t>in the SL HARQ procedure</w:t>
      </w:r>
      <w:r w:rsidR="008A311C">
        <w:rPr>
          <w:rFonts w:cs="Arial"/>
          <w:lang w:val="en-US"/>
        </w:rPr>
        <w:t>:</w:t>
      </w:r>
      <w:r w:rsidR="001F41F9">
        <w:rPr>
          <w:rFonts w:cs="Arial"/>
          <w:lang w:val="en-US"/>
        </w:rPr>
        <w:t xml:space="preserve"> </w:t>
      </w:r>
      <w:r w:rsidR="008A311C">
        <w:rPr>
          <w:rFonts w:cs="Arial"/>
          <w:lang w:val="en-US"/>
        </w:rPr>
        <w:t xml:space="preserve">(1) </w:t>
      </w:r>
      <w:r w:rsidR="001F41F9">
        <w:rPr>
          <w:rFonts w:cs="Arial"/>
          <w:lang w:val="en-US"/>
        </w:rPr>
        <w:t>the Rx needs to be able to report</w:t>
      </w:r>
      <w:r>
        <w:rPr>
          <w:rFonts w:cs="Arial"/>
          <w:lang w:val="en-US"/>
        </w:rPr>
        <w:t>,</w:t>
      </w:r>
      <w:r w:rsidR="001F41F9">
        <w:rPr>
          <w:rFonts w:cs="Arial"/>
          <w:lang w:val="en-US"/>
        </w:rPr>
        <w:t xml:space="preserve"> to either the gNB or directly to the Tx UE</w:t>
      </w:r>
      <w:r>
        <w:rPr>
          <w:rFonts w:cs="Arial"/>
          <w:lang w:val="en-US"/>
        </w:rPr>
        <w:t>,</w:t>
      </w:r>
      <w:r w:rsidR="001F41F9">
        <w:rPr>
          <w:rFonts w:cs="Arial"/>
          <w:lang w:val="en-US"/>
        </w:rPr>
        <w:t xml:space="preserve"> that </w:t>
      </w:r>
      <w:r>
        <w:rPr>
          <w:rFonts w:cs="Arial"/>
          <w:lang w:val="en-US"/>
        </w:rPr>
        <w:t>it is experiencing consecutive LBT failure</w:t>
      </w:r>
      <w:r w:rsidR="008A311C">
        <w:rPr>
          <w:rFonts w:cs="Arial"/>
          <w:lang w:val="en-US"/>
        </w:rPr>
        <w:t xml:space="preserve">; and (2) the Tx UE needs to be able to </w:t>
      </w:r>
      <w:r w:rsidR="0054678F">
        <w:rPr>
          <w:rFonts w:cs="Arial"/>
          <w:lang w:val="en-US"/>
        </w:rPr>
        <w:t xml:space="preserve">react to that information when receiving it directly </w:t>
      </w:r>
      <w:r w:rsidR="00687A53">
        <w:rPr>
          <w:rFonts w:cs="Arial"/>
          <w:lang w:val="en-US"/>
        </w:rPr>
        <w:t xml:space="preserve">from the Rx UE </w:t>
      </w:r>
      <w:r w:rsidR="0054678F">
        <w:rPr>
          <w:rFonts w:cs="Arial"/>
          <w:lang w:val="en-US"/>
        </w:rPr>
        <w:t>or via the gNB.</w:t>
      </w:r>
    </w:p>
    <w:p w14:paraId="4A4C2FF7" w14:textId="77777777" w:rsidR="004D12FA" w:rsidRDefault="00001AD8" w:rsidP="0077476A">
      <w:pPr>
        <w:spacing w:before="240"/>
        <w:jc w:val="both"/>
        <w:rPr>
          <w:rFonts w:cs="Arial"/>
          <w:lang w:val="en-US"/>
        </w:rPr>
      </w:pPr>
      <w:r>
        <w:rPr>
          <w:rFonts w:cs="Arial"/>
          <w:lang w:val="en-US"/>
        </w:rPr>
        <w:t xml:space="preserve">Regarding </w:t>
      </w:r>
      <w:r w:rsidR="00AF2F8B">
        <w:rPr>
          <w:rFonts w:cs="Arial"/>
          <w:lang w:val="en-US"/>
        </w:rPr>
        <w:t xml:space="preserve">(1), it was agreed in </w:t>
      </w:r>
      <w:r w:rsidR="00AF2F8B" w:rsidRPr="00AF2F8B">
        <w:rPr>
          <w:rFonts w:cs="Arial"/>
          <w:lang w:val="en-US"/>
        </w:rPr>
        <w:t>RAN2#120</w:t>
      </w:r>
      <w:r w:rsidR="00AF2F8B">
        <w:rPr>
          <w:rFonts w:cs="Arial"/>
          <w:lang w:val="en-US"/>
        </w:rPr>
        <w:t xml:space="preserve"> that a UE </w:t>
      </w:r>
      <w:r w:rsidR="00AF2F8B" w:rsidRPr="00AF2F8B">
        <w:rPr>
          <w:rFonts w:cs="Arial"/>
          <w:lang w:val="en-US"/>
        </w:rPr>
        <w:t xml:space="preserve">in RRC_CONNECTED can indicate the SL-specific consistent LBT failure </w:t>
      </w:r>
      <w:r w:rsidR="00754199">
        <w:rPr>
          <w:rFonts w:cs="Arial"/>
          <w:lang w:val="en-US"/>
        </w:rPr>
        <w:t xml:space="preserve">detection </w:t>
      </w:r>
      <w:r w:rsidR="00AF2F8B" w:rsidRPr="00AF2F8B">
        <w:rPr>
          <w:rFonts w:cs="Arial"/>
          <w:lang w:val="en-US"/>
        </w:rPr>
        <w:t>to the gNB</w:t>
      </w:r>
      <w:r w:rsidR="00754199">
        <w:rPr>
          <w:rFonts w:cs="Arial"/>
          <w:lang w:val="en-US"/>
        </w:rPr>
        <w:t xml:space="preserve"> (</w:t>
      </w:r>
      <w:r w:rsidR="00B72949">
        <w:rPr>
          <w:rFonts w:cs="Arial"/>
          <w:lang w:val="en-US"/>
        </w:rPr>
        <w:t>regardless if it is operating in Mode 1 or 2)</w:t>
      </w:r>
      <w:r w:rsidR="00F425FA">
        <w:rPr>
          <w:rFonts w:cs="Arial"/>
          <w:lang w:val="en-US"/>
        </w:rPr>
        <w:t>.</w:t>
      </w:r>
      <w:r w:rsidR="00B72949">
        <w:rPr>
          <w:rFonts w:cs="Arial"/>
          <w:lang w:val="en-US"/>
        </w:rPr>
        <w:t xml:space="preserve"> However, it was not agreed if a UE can provide this same report to peer UEs</w:t>
      </w:r>
      <w:r w:rsidR="004D12FA">
        <w:rPr>
          <w:rFonts w:cs="Arial"/>
          <w:lang w:val="en-US"/>
        </w:rPr>
        <w:t>.</w:t>
      </w:r>
    </w:p>
    <w:p w14:paraId="7E9EF2B3" w14:textId="0B9F65E8" w:rsidR="004D12FA" w:rsidRDefault="004D12FA" w:rsidP="004D12FA">
      <w:pPr>
        <w:spacing w:after="240"/>
        <w:jc w:val="both"/>
        <w:rPr>
          <w:b/>
          <w:lang w:val="en-US"/>
        </w:rPr>
      </w:pPr>
      <w:r w:rsidRPr="0C4DC73B">
        <w:rPr>
          <w:b/>
          <w:bCs/>
          <w:lang w:val="en-US"/>
        </w:rPr>
        <w:t xml:space="preserve">Proposal </w:t>
      </w:r>
      <w:r w:rsidRPr="5A708491">
        <w:rPr>
          <w:b/>
          <w:color w:val="2B579A"/>
          <w:lang w:val="en-US"/>
        </w:rPr>
        <w:fldChar w:fldCharType="begin"/>
      </w:r>
      <w:r w:rsidRPr="002137EB">
        <w:rPr>
          <w:b/>
          <w:lang w:val="en-US"/>
        </w:rPr>
        <w:instrText xml:space="preserve"> SEQ Proposal \* Arabic </w:instrText>
      </w:r>
      <w:r w:rsidRPr="5A708491">
        <w:rPr>
          <w:b/>
          <w:color w:val="2B579A"/>
          <w:lang w:val="en-US"/>
        </w:rPr>
        <w:fldChar w:fldCharType="separate"/>
      </w:r>
      <w:r w:rsidR="00DD449E">
        <w:rPr>
          <w:b/>
          <w:noProof/>
          <w:lang w:val="en-US"/>
        </w:rPr>
        <w:t>3</w:t>
      </w:r>
      <w:r w:rsidRPr="5A708491">
        <w:rPr>
          <w:b/>
          <w:color w:val="2B579A"/>
          <w:lang w:val="en-US"/>
        </w:rPr>
        <w:fldChar w:fldCharType="end"/>
      </w:r>
      <w:r w:rsidRPr="00375BCA">
        <w:rPr>
          <w:b/>
          <w:lang w:val="en-US"/>
        </w:rPr>
        <w:t xml:space="preserve">: RAN2 </w:t>
      </w:r>
      <w:r>
        <w:rPr>
          <w:b/>
          <w:lang w:val="en-US"/>
        </w:rPr>
        <w:t xml:space="preserve">to study how a UE can report SL-specific </w:t>
      </w:r>
      <w:r w:rsidRPr="00375BCA">
        <w:rPr>
          <w:b/>
          <w:lang w:val="en-US"/>
        </w:rPr>
        <w:t xml:space="preserve">consecutive LBT failure </w:t>
      </w:r>
      <w:r w:rsidRPr="0C4DC73B">
        <w:rPr>
          <w:b/>
          <w:bCs/>
          <w:lang w:val="en-US"/>
        </w:rPr>
        <w:t xml:space="preserve">detection </w:t>
      </w:r>
      <w:r>
        <w:rPr>
          <w:b/>
          <w:bCs/>
          <w:lang w:val="en-US"/>
        </w:rPr>
        <w:t xml:space="preserve">to </w:t>
      </w:r>
      <w:r w:rsidR="009501B4">
        <w:rPr>
          <w:b/>
          <w:bCs/>
          <w:lang w:val="en-US"/>
        </w:rPr>
        <w:t xml:space="preserve">a </w:t>
      </w:r>
      <w:r>
        <w:rPr>
          <w:b/>
          <w:bCs/>
          <w:lang w:val="en-US"/>
        </w:rPr>
        <w:t>peer UE</w:t>
      </w:r>
      <w:r w:rsidR="009501B4">
        <w:rPr>
          <w:b/>
          <w:bCs/>
          <w:lang w:val="en-US"/>
        </w:rPr>
        <w:t>.</w:t>
      </w:r>
      <w:r w:rsidRPr="00375BCA">
        <w:rPr>
          <w:b/>
          <w:lang w:val="en-US"/>
        </w:rPr>
        <w:t xml:space="preserve"> </w:t>
      </w:r>
    </w:p>
    <w:p w14:paraId="44444579" w14:textId="2BD0578F" w:rsidR="004F7B87" w:rsidRDefault="009501B4" w:rsidP="004F7B87">
      <w:pPr>
        <w:spacing w:before="240"/>
        <w:jc w:val="both"/>
      </w:pPr>
      <w:r>
        <w:rPr>
          <w:rFonts w:cs="Arial"/>
          <w:lang w:val="en-US"/>
        </w:rPr>
        <w:t>Regarding (2), we note that Tx UE should be able to decide based on this information if it should request HARQ feedback when performing a transmission to the Rx UE via the 2</w:t>
      </w:r>
      <w:r w:rsidRPr="0008399C">
        <w:rPr>
          <w:rFonts w:cs="Arial"/>
          <w:vertAlign w:val="superscript"/>
          <w:lang w:val="en-US"/>
        </w:rPr>
        <w:t>nd</w:t>
      </w:r>
      <w:r>
        <w:rPr>
          <w:rFonts w:cs="Arial"/>
          <w:lang w:val="en-US"/>
        </w:rPr>
        <w:t xml:space="preserve"> stage SCI HARQ feedback enabled/disabled indicator. However,</w:t>
      </w:r>
      <w:r w:rsidR="004F7B87">
        <w:rPr>
          <w:rFonts w:cs="Arial"/>
          <w:lang w:val="en-US"/>
        </w:rPr>
        <w:t xml:space="preserve"> </w:t>
      </w:r>
      <w:r w:rsidR="004F7B87">
        <w:t xml:space="preserve">in the MAC specification, a UE when performing a transmission is not allowed to </w:t>
      </w:r>
      <w:r w:rsidR="00A01991">
        <w:t xml:space="preserve">decide if it should </w:t>
      </w:r>
      <w:r w:rsidR="004F7B87">
        <w:t xml:space="preserve">request HARQ feedback and instead the need for HARQ feedback is configured by logical channel. </w:t>
      </w:r>
      <w:r w:rsidR="00800E83">
        <w:t>In addition to the impact of consistent LBT failure in general</w:t>
      </w:r>
      <w:r w:rsidR="004F7B87">
        <w:t xml:space="preserve"> unlicensed operation, it is worthwhile to relax this restriction as the transmitting device can be aware how difficult it is to acquire access to the channel (i.e., to successfully complete the LBT procedure). Therefore, in situations where it is likely that the </w:t>
      </w:r>
      <w:r w:rsidR="00A7308A">
        <w:t>Rx</w:t>
      </w:r>
      <w:r w:rsidR="004F7B87">
        <w:t xml:space="preserve"> UE will not be able to provide HARQ feedback due to expected LBT failure, then the </w:t>
      </w:r>
      <w:r w:rsidR="00A7308A">
        <w:t>Tx</w:t>
      </w:r>
      <w:r w:rsidR="004F7B87">
        <w:t xml:space="preserve"> UE should be allowed to not request for HARQ feedback and adjust its transmission parameters to avoid a HARQ retransmission instead.</w:t>
      </w:r>
    </w:p>
    <w:p w14:paraId="095989DF" w14:textId="1E55374C" w:rsidR="004F7B87" w:rsidRDefault="00DD449E" w:rsidP="004F7B87">
      <w:pPr>
        <w:spacing w:after="0"/>
        <w:jc w:val="both"/>
        <w:rPr>
          <w:b/>
          <w:iCs/>
          <w:lang w:val="en-US"/>
        </w:rPr>
      </w:pPr>
      <w:r w:rsidRPr="0C4DC73B">
        <w:rPr>
          <w:b/>
          <w:bCs/>
          <w:lang w:val="en-US"/>
        </w:rPr>
        <w:t xml:space="preserve">Proposal </w:t>
      </w:r>
      <w:r w:rsidRPr="5A708491">
        <w:rPr>
          <w:b/>
          <w:color w:val="2B579A"/>
          <w:lang w:val="en-US"/>
        </w:rPr>
        <w:fldChar w:fldCharType="begin"/>
      </w:r>
      <w:r w:rsidRPr="002137EB">
        <w:rPr>
          <w:b/>
          <w:lang w:val="en-US"/>
        </w:rPr>
        <w:instrText xml:space="preserve"> SEQ Proposal \* Arabic </w:instrText>
      </w:r>
      <w:r w:rsidRPr="5A708491">
        <w:rPr>
          <w:b/>
          <w:color w:val="2B579A"/>
          <w:lang w:val="en-US"/>
        </w:rPr>
        <w:fldChar w:fldCharType="separate"/>
      </w:r>
      <w:r>
        <w:rPr>
          <w:b/>
          <w:noProof/>
          <w:lang w:val="en-US"/>
        </w:rPr>
        <w:t>4</w:t>
      </w:r>
      <w:r w:rsidRPr="5A708491">
        <w:rPr>
          <w:b/>
          <w:color w:val="2B579A"/>
          <w:lang w:val="en-US"/>
        </w:rPr>
        <w:fldChar w:fldCharType="end"/>
      </w:r>
      <w:r w:rsidRPr="00375BCA">
        <w:rPr>
          <w:b/>
          <w:lang w:val="en-US"/>
        </w:rPr>
        <w:t xml:space="preserve">: </w:t>
      </w:r>
      <w:r w:rsidR="00A37CE7" w:rsidRPr="001966F5">
        <w:rPr>
          <w:b/>
          <w:bCs/>
        </w:rPr>
        <w:t xml:space="preserve">RAN2 to </w:t>
      </w:r>
      <w:r w:rsidR="00A37CE7">
        <w:rPr>
          <w:b/>
          <w:bCs/>
        </w:rPr>
        <w:t>allow</w:t>
      </w:r>
      <w:r w:rsidR="00A37CE7" w:rsidRPr="001966F5">
        <w:rPr>
          <w:b/>
          <w:bCs/>
        </w:rPr>
        <w:t xml:space="preserve"> a transmitter UE </w:t>
      </w:r>
      <w:r w:rsidR="00A37CE7">
        <w:rPr>
          <w:b/>
          <w:bCs/>
        </w:rPr>
        <w:t>to decide to</w:t>
      </w:r>
      <w:r w:rsidR="00A37CE7" w:rsidRPr="001966F5">
        <w:rPr>
          <w:b/>
          <w:bCs/>
        </w:rPr>
        <w:t xml:space="preserve"> request or not a HARQ feedback based on the</w:t>
      </w:r>
      <w:r w:rsidR="00A37CE7">
        <w:rPr>
          <w:b/>
          <w:bCs/>
        </w:rPr>
        <w:t xml:space="preserve"> acquired information </w:t>
      </w:r>
      <w:r w:rsidR="00121582">
        <w:rPr>
          <w:b/>
          <w:bCs/>
        </w:rPr>
        <w:t>regarding</w:t>
      </w:r>
      <w:r w:rsidR="00A37CE7">
        <w:rPr>
          <w:b/>
          <w:bCs/>
        </w:rPr>
        <w:t xml:space="preserve"> the receiving UE </w:t>
      </w:r>
      <w:r w:rsidR="00A37CE7" w:rsidRPr="001966F5">
        <w:rPr>
          <w:b/>
          <w:bCs/>
        </w:rPr>
        <w:t>perceived channel access conditions.</w:t>
      </w:r>
    </w:p>
    <w:p w14:paraId="24A1B418" w14:textId="77777777" w:rsidR="00A37CE7" w:rsidRPr="001504FB" w:rsidRDefault="00A37CE7" w:rsidP="004F7B87">
      <w:pPr>
        <w:spacing w:after="0"/>
        <w:jc w:val="both"/>
        <w:rPr>
          <w:iCs/>
        </w:rPr>
      </w:pPr>
    </w:p>
    <w:p w14:paraId="483D2E44" w14:textId="19326FF5" w:rsidR="009339CB" w:rsidRDefault="005A13AB" w:rsidP="00CB4910">
      <w:pPr>
        <w:pStyle w:val="Heading1"/>
      </w:pPr>
      <w:r>
        <w:t>3</w:t>
      </w:r>
      <w:r w:rsidR="009339CB" w:rsidRPr="006E13D1">
        <w:tab/>
      </w:r>
      <w:r w:rsidR="009339CB">
        <w:t>Conclusion</w:t>
      </w:r>
    </w:p>
    <w:p w14:paraId="6E24B0F4" w14:textId="48F08F0C" w:rsidR="009339CB" w:rsidRDefault="009339CB" w:rsidP="009339CB">
      <w:r>
        <w:t>Th</w:t>
      </w:r>
      <w:r w:rsidR="00DD449E">
        <w:t xml:space="preserve">e following proposals were made in this </w:t>
      </w:r>
      <w:r>
        <w:t>document:</w:t>
      </w:r>
    </w:p>
    <w:p w14:paraId="6667251B" w14:textId="77777777" w:rsidR="00196263" w:rsidRPr="00196263" w:rsidRDefault="00196263" w:rsidP="00196263">
      <w:pPr>
        <w:spacing w:before="240" w:after="120"/>
        <w:jc w:val="both"/>
        <w:rPr>
          <w:b/>
          <w:bCs/>
          <w:lang w:val="en-US"/>
        </w:rPr>
      </w:pPr>
      <w:r>
        <w:rPr>
          <w:b/>
          <w:bCs/>
          <w:lang w:val="en-US"/>
        </w:rPr>
        <w:lastRenderedPageBreak/>
        <w:t>Observation 1: RAN1 finds it feasible to notify LBT failure</w:t>
      </w:r>
      <w:r w:rsidRPr="00196263">
        <w:rPr>
          <w:b/>
          <w:bCs/>
        </w:rPr>
        <w:t xml:space="preserve"> for SL PSCCH/PSSCH/PSFCH, or SL S-SSB transmission should be feasible on RB set level</w:t>
      </w:r>
      <w:r>
        <w:rPr>
          <w:b/>
          <w:bCs/>
        </w:rPr>
        <w:t>.</w:t>
      </w:r>
    </w:p>
    <w:p w14:paraId="2F6FD3D4" w14:textId="1E076C61" w:rsidR="00EB165A" w:rsidRDefault="00196263" w:rsidP="00196263">
      <w:pPr>
        <w:spacing w:after="240"/>
        <w:jc w:val="both"/>
        <w:rPr>
          <w:b/>
          <w:bCs/>
          <w:lang w:val="en-US"/>
        </w:rPr>
      </w:pPr>
      <w:r>
        <w:rPr>
          <w:b/>
          <w:bCs/>
          <w:lang w:val="en-US"/>
        </w:rPr>
        <w:t>Observation 2: RAN1 is most likely to push the decision on the consecutive LBT failure granularity back to RAN2.</w:t>
      </w:r>
    </w:p>
    <w:p w14:paraId="06FB7B25" w14:textId="364C1D95" w:rsidR="001966F5" w:rsidRPr="001966F5" w:rsidRDefault="00EB165A" w:rsidP="00EB165A">
      <w:pPr>
        <w:rPr>
          <w:b/>
          <w:bCs/>
        </w:rPr>
      </w:pPr>
      <w:r>
        <w:rPr>
          <w:b/>
          <w:bCs/>
          <w:lang w:val="en-US"/>
        </w:rPr>
        <w:t>Proposal</w:t>
      </w:r>
      <w:r w:rsidRPr="0CA8C70D">
        <w:rPr>
          <w:b/>
          <w:bCs/>
          <w:lang w:val="en-US"/>
        </w:rPr>
        <w:t xml:space="preserve"> 1: </w:t>
      </w:r>
      <w:r w:rsidRPr="0CA8C70D">
        <w:rPr>
          <w:b/>
          <w:bCs/>
          <w:color w:val="2B579A"/>
          <w:lang w:val="en-US"/>
        </w:rPr>
        <w:fldChar w:fldCharType="begin"/>
      </w:r>
      <w:r w:rsidRPr="0CA8C70D">
        <w:rPr>
          <w:b/>
          <w:bCs/>
          <w:lang w:val="en-US"/>
        </w:rPr>
        <w:instrText xml:space="preserve"> SEQ Proposal \* Arabic </w:instrText>
      </w:r>
      <w:r w:rsidR="00D64500">
        <w:rPr>
          <w:b/>
          <w:bCs/>
          <w:color w:val="2B579A"/>
          <w:lang w:val="en-US"/>
        </w:rPr>
        <w:fldChar w:fldCharType="separate"/>
      </w:r>
      <w:r w:rsidRPr="0CA8C70D">
        <w:rPr>
          <w:b/>
          <w:bCs/>
          <w:color w:val="2B579A"/>
          <w:lang w:val="en-US"/>
        </w:rPr>
        <w:fldChar w:fldCharType="end"/>
      </w:r>
      <w:r w:rsidRPr="0CA8C70D">
        <w:rPr>
          <w:b/>
          <w:bCs/>
          <w:lang w:val="en-US"/>
        </w:rPr>
        <w:t xml:space="preserve"> RAN2 to </w:t>
      </w:r>
      <w:r>
        <w:rPr>
          <w:b/>
          <w:bCs/>
          <w:lang w:val="en-US"/>
        </w:rPr>
        <w:t>accept as a working assumption</w:t>
      </w:r>
      <w:r w:rsidRPr="0CA8C70D">
        <w:rPr>
          <w:b/>
          <w:bCs/>
          <w:lang w:val="en-US"/>
        </w:rPr>
        <w:t xml:space="preserve"> that the consecutive LBT failure detection should consider at least RB set and/or resource pool</w:t>
      </w:r>
      <w:r>
        <w:rPr>
          <w:b/>
          <w:bCs/>
          <w:lang w:val="en-US"/>
        </w:rPr>
        <w:t xml:space="preserve"> and may start work based on this assumption.</w:t>
      </w:r>
    </w:p>
    <w:p w14:paraId="78AFE167" w14:textId="77777777" w:rsidR="001966F5" w:rsidRPr="001966F5" w:rsidRDefault="001966F5" w:rsidP="001966F5">
      <w:pPr>
        <w:rPr>
          <w:b/>
          <w:bCs/>
        </w:rPr>
      </w:pPr>
      <w:r w:rsidRPr="001966F5">
        <w:rPr>
          <w:b/>
          <w:bCs/>
        </w:rPr>
        <w:t xml:space="preserve">Proposal 2: RAN2 to study the impact of SL-specific consecutive LBT failure detection in the SL HARQ procedure. </w:t>
      </w:r>
    </w:p>
    <w:p w14:paraId="0E6717A5" w14:textId="77777777" w:rsidR="001966F5" w:rsidRPr="001966F5" w:rsidRDefault="001966F5" w:rsidP="001966F5">
      <w:pPr>
        <w:rPr>
          <w:b/>
          <w:bCs/>
        </w:rPr>
      </w:pPr>
      <w:r w:rsidRPr="001966F5">
        <w:rPr>
          <w:b/>
          <w:bCs/>
        </w:rPr>
        <w:t xml:space="preserve">Proposal 3: RAN2 to study how a UE can report SL-specific consecutive LBT failure detection to a peer UE. </w:t>
      </w:r>
    </w:p>
    <w:p w14:paraId="0058CC7F" w14:textId="01A86A81" w:rsidR="001966F5" w:rsidRPr="001966F5" w:rsidRDefault="001966F5" w:rsidP="001966F5">
      <w:pPr>
        <w:rPr>
          <w:b/>
          <w:bCs/>
        </w:rPr>
      </w:pPr>
      <w:r w:rsidRPr="001966F5">
        <w:rPr>
          <w:b/>
          <w:bCs/>
        </w:rPr>
        <w:t xml:space="preserve">Proposal 4: RAN2 to </w:t>
      </w:r>
      <w:r w:rsidR="00151559">
        <w:rPr>
          <w:b/>
          <w:bCs/>
        </w:rPr>
        <w:t>allow</w:t>
      </w:r>
      <w:r w:rsidRPr="001966F5">
        <w:rPr>
          <w:b/>
          <w:bCs/>
        </w:rPr>
        <w:t xml:space="preserve"> a transmitter UE </w:t>
      </w:r>
      <w:r w:rsidR="00151559">
        <w:rPr>
          <w:b/>
          <w:bCs/>
        </w:rPr>
        <w:t>to decide to</w:t>
      </w:r>
      <w:r w:rsidRPr="001966F5">
        <w:rPr>
          <w:b/>
          <w:bCs/>
        </w:rPr>
        <w:t xml:space="preserve"> request or not a HARQ feedback based on the</w:t>
      </w:r>
      <w:r w:rsidR="00A37CE7">
        <w:rPr>
          <w:b/>
          <w:bCs/>
        </w:rPr>
        <w:t xml:space="preserve"> acquired information </w:t>
      </w:r>
      <w:r w:rsidR="00121582">
        <w:rPr>
          <w:b/>
          <w:bCs/>
        </w:rPr>
        <w:t>regarding</w:t>
      </w:r>
      <w:r w:rsidR="00A37CE7">
        <w:rPr>
          <w:b/>
          <w:bCs/>
        </w:rPr>
        <w:t xml:space="preserve"> the receiving UE </w:t>
      </w:r>
      <w:r w:rsidRPr="001966F5">
        <w:rPr>
          <w:b/>
          <w:bCs/>
        </w:rPr>
        <w:t>perceived channel access conditions.</w:t>
      </w:r>
    </w:p>
    <w:sectPr w:rsidR="001966F5" w:rsidRPr="001966F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02027" w14:textId="77777777" w:rsidR="00D64500" w:rsidRDefault="00D64500">
      <w:r>
        <w:separator/>
      </w:r>
    </w:p>
  </w:endnote>
  <w:endnote w:type="continuationSeparator" w:id="0">
    <w:p w14:paraId="68B70DB3" w14:textId="77777777" w:rsidR="00D64500" w:rsidRDefault="00D64500">
      <w:r>
        <w:continuationSeparator/>
      </w:r>
    </w:p>
  </w:endnote>
  <w:endnote w:type="continuationNotice" w:id="1">
    <w:p w14:paraId="6DB38D53" w14:textId="77777777" w:rsidR="00D64500" w:rsidRDefault="00D64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985E" w14:textId="77777777" w:rsidR="00D64500" w:rsidRDefault="00D64500">
      <w:r>
        <w:separator/>
      </w:r>
    </w:p>
  </w:footnote>
  <w:footnote w:type="continuationSeparator" w:id="0">
    <w:p w14:paraId="2F7DBA0A" w14:textId="77777777" w:rsidR="00D64500" w:rsidRDefault="00D64500">
      <w:r>
        <w:continuationSeparator/>
      </w:r>
    </w:p>
  </w:footnote>
  <w:footnote w:type="continuationNotice" w:id="1">
    <w:p w14:paraId="70190F35" w14:textId="77777777" w:rsidR="00D64500" w:rsidRDefault="00D645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34462F"/>
    <w:multiLevelType w:val="hybridMultilevel"/>
    <w:tmpl w:val="E3AE0736"/>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F15263"/>
    <w:multiLevelType w:val="hybridMultilevel"/>
    <w:tmpl w:val="AB2EA9E6"/>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A9915F9"/>
    <w:multiLevelType w:val="hybridMultilevel"/>
    <w:tmpl w:val="C9C62B4C"/>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7CDB40CF"/>
    <w:multiLevelType w:val="hybridMultilevel"/>
    <w:tmpl w:val="12F22EE8"/>
    <w:lvl w:ilvl="0" w:tplc="04090017">
      <w:start w:val="1"/>
      <w:numFmt w:val="lowerLetter"/>
      <w:lvlText w:val="%1)"/>
      <w:lvlJc w:val="left"/>
      <w:pPr>
        <w:ind w:left="360" w:hanging="360"/>
      </w:pPr>
    </w:lvl>
    <w:lvl w:ilvl="1" w:tplc="0409001B">
      <w:start w:val="1"/>
      <w:numFmt w:val="low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8"/>
  </w:num>
  <w:num w:numId="9">
    <w:abstractNumId w:val="2"/>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D8"/>
    <w:rsid w:val="00006C10"/>
    <w:rsid w:val="00016557"/>
    <w:rsid w:val="00023C40"/>
    <w:rsid w:val="00026565"/>
    <w:rsid w:val="00027DFD"/>
    <w:rsid w:val="00033397"/>
    <w:rsid w:val="00040095"/>
    <w:rsid w:val="00055BA2"/>
    <w:rsid w:val="00065268"/>
    <w:rsid w:val="00073C9C"/>
    <w:rsid w:val="00076412"/>
    <w:rsid w:val="00080512"/>
    <w:rsid w:val="0008399C"/>
    <w:rsid w:val="00084881"/>
    <w:rsid w:val="00086D6E"/>
    <w:rsid w:val="00090468"/>
    <w:rsid w:val="00094568"/>
    <w:rsid w:val="000954B5"/>
    <w:rsid w:val="000B7BCF"/>
    <w:rsid w:val="000C522B"/>
    <w:rsid w:val="000C64F4"/>
    <w:rsid w:val="000D58AB"/>
    <w:rsid w:val="00112F1A"/>
    <w:rsid w:val="00121582"/>
    <w:rsid w:val="00127F8B"/>
    <w:rsid w:val="00145075"/>
    <w:rsid w:val="00151559"/>
    <w:rsid w:val="001656A2"/>
    <w:rsid w:val="0017144D"/>
    <w:rsid w:val="001741A0"/>
    <w:rsid w:val="00175FA0"/>
    <w:rsid w:val="00182EE0"/>
    <w:rsid w:val="00194CD0"/>
    <w:rsid w:val="00196263"/>
    <w:rsid w:val="001966F5"/>
    <w:rsid w:val="00197A0C"/>
    <w:rsid w:val="001B49C9"/>
    <w:rsid w:val="001C23F4"/>
    <w:rsid w:val="001C4F79"/>
    <w:rsid w:val="001F168B"/>
    <w:rsid w:val="001F41F9"/>
    <w:rsid w:val="001F7831"/>
    <w:rsid w:val="00204045"/>
    <w:rsid w:val="0020712B"/>
    <w:rsid w:val="0022606D"/>
    <w:rsid w:val="00231728"/>
    <w:rsid w:val="00242462"/>
    <w:rsid w:val="00244A05"/>
    <w:rsid w:val="00250404"/>
    <w:rsid w:val="00256B74"/>
    <w:rsid w:val="002610D8"/>
    <w:rsid w:val="002747EC"/>
    <w:rsid w:val="002754A9"/>
    <w:rsid w:val="002855BF"/>
    <w:rsid w:val="002A4DBE"/>
    <w:rsid w:val="002B2988"/>
    <w:rsid w:val="002B3E2B"/>
    <w:rsid w:val="002C6B8F"/>
    <w:rsid w:val="002F0D22"/>
    <w:rsid w:val="00311B17"/>
    <w:rsid w:val="003172DC"/>
    <w:rsid w:val="00325AE3"/>
    <w:rsid w:val="00326069"/>
    <w:rsid w:val="0035462D"/>
    <w:rsid w:val="0036459E"/>
    <w:rsid w:val="00364B41"/>
    <w:rsid w:val="00383096"/>
    <w:rsid w:val="0039346C"/>
    <w:rsid w:val="003A41EF"/>
    <w:rsid w:val="003A71D1"/>
    <w:rsid w:val="003B40AD"/>
    <w:rsid w:val="003B420F"/>
    <w:rsid w:val="003C2346"/>
    <w:rsid w:val="003C4E37"/>
    <w:rsid w:val="003D244A"/>
    <w:rsid w:val="003D6D97"/>
    <w:rsid w:val="003E16BE"/>
    <w:rsid w:val="003F4E28"/>
    <w:rsid w:val="004006E8"/>
    <w:rsid w:val="00401855"/>
    <w:rsid w:val="00414FAE"/>
    <w:rsid w:val="00446C3A"/>
    <w:rsid w:val="00465587"/>
    <w:rsid w:val="00474F6C"/>
    <w:rsid w:val="00477455"/>
    <w:rsid w:val="004A1F7B"/>
    <w:rsid w:val="004C44D2"/>
    <w:rsid w:val="004D12FA"/>
    <w:rsid w:val="004D3578"/>
    <w:rsid w:val="004D380D"/>
    <w:rsid w:val="004E213A"/>
    <w:rsid w:val="004F4540"/>
    <w:rsid w:val="004F73A7"/>
    <w:rsid w:val="004F7B87"/>
    <w:rsid w:val="00503171"/>
    <w:rsid w:val="00506C28"/>
    <w:rsid w:val="00534DA0"/>
    <w:rsid w:val="00536DB6"/>
    <w:rsid w:val="00543E6C"/>
    <w:rsid w:val="0054678F"/>
    <w:rsid w:val="00552814"/>
    <w:rsid w:val="00560F32"/>
    <w:rsid w:val="00565087"/>
    <w:rsid w:val="0056573F"/>
    <w:rsid w:val="00571279"/>
    <w:rsid w:val="00582BD7"/>
    <w:rsid w:val="005A13AB"/>
    <w:rsid w:val="005A31B0"/>
    <w:rsid w:val="005A49C6"/>
    <w:rsid w:val="005C766E"/>
    <w:rsid w:val="005C7CD5"/>
    <w:rsid w:val="005E189C"/>
    <w:rsid w:val="006100F9"/>
    <w:rsid w:val="00611566"/>
    <w:rsid w:val="00646D99"/>
    <w:rsid w:val="00656910"/>
    <w:rsid w:val="006574C0"/>
    <w:rsid w:val="0066061C"/>
    <w:rsid w:val="00667E3F"/>
    <w:rsid w:val="006800B9"/>
    <w:rsid w:val="00687A53"/>
    <w:rsid w:val="00696821"/>
    <w:rsid w:val="006C66D8"/>
    <w:rsid w:val="006D1E24"/>
    <w:rsid w:val="006D35DE"/>
    <w:rsid w:val="006E1057"/>
    <w:rsid w:val="006E1417"/>
    <w:rsid w:val="006F6A2C"/>
    <w:rsid w:val="00701BFC"/>
    <w:rsid w:val="007069DC"/>
    <w:rsid w:val="00710201"/>
    <w:rsid w:val="0072073A"/>
    <w:rsid w:val="00723981"/>
    <w:rsid w:val="00726CCE"/>
    <w:rsid w:val="007342B5"/>
    <w:rsid w:val="00734A5B"/>
    <w:rsid w:val="007375FF"/>
    <w:rsid w:val="00744E76"/>
    <w:rsid w:val="00754199"/>
    <w:rsid w:val="00757D40"/>
    <w:rsid w:val="007662B5"/>
    <w:rsid w:val="007666B3"/>
    <w:rsid w:val="0077476A"/>
    <w:rsid w:val="00781F0F"/>
    <w:rsid w:val="0078727C"/>
    <w:rsid w:val="0079049D"/>
    <w:rsid w:val="00793DC5"/>
    <w:rsid w:val="00796823"/>
    <w:rsid w:val="007A2E55"/>
    <w:rsid w:val="007B18D8"/>
    <w:rsid w:val="007C095F"/>
    <w:rsid w:val="007C2DD0"/>
    <w:rsid w:val="007F2E08"/>
    <w:rsid w:val="00800E83"/>
    <w:rsid w:val="008024FA"/>
    <w:rsid w:val="008028A4"/>
    <w:rsid w:val="00813245"/>
    <w:rsid w:val="00837390"/>
    <w:rsid w:val="00837C29"/>
    <w:rsid w:val="00840DE0"/>
    <w:rsid w:val="00847CD0"/>
    <w:rsid w:val="008607A8"/>
    <w:rsid w:val="0086354A"/>
    <w:rsid w:val="008758B0"/>
    <w:rsid w:val="008768CA"/>
    <w:rsid w:val="00877EF9"/>
    <w:rsid w:val="00880559"/>
    <w:rsid w:val="008A311C"/>
    <w:rsid w:val="008B5306"/>
    <w:rsid w:val="008B54E8"/>
    <w:rsid w:val="008C2E2A"/>
    <w:rsid w:val="008C3057"/>
    <w:rsid w:val="008D2E4D"/>
    <w:rsid w:val="008E150D"/>
    <w:rsid w:val="008E63BC"/>
    <w:rsid w:val="008F396F"/>
    <w:rsid w:val="008F3DCD"/>
    <w:rsid w:val="0090271F"/>
    <w:rsid w:val="00902DB9"/>
    <w:rsid w:val="0090466A"/>
    <w:rsid w:val="00914EB1"/>
    <w:rsid w:val="00923655"/>
    <w:rsid w:val="00927F9E"/>
    <w:rsid w:val="009339CB"/>
    <w:rsid w:val="00936071"/>
    <w:rsid w:val="009376CD"/>
    <w:rsid w:val="00940212"/>
    <w:rsid w:val="00942EC2"/>
    <w:rsid w:val="00943FA9"/>
    <w:rsid w:val="009501B4"/>
    <w:rsid w:val="00961B32"/>
    <w:rsid w:val="00962509"/>
    <w:rsid w:val="00970DB3"/>
    <w:rsid w:val="00974BB0"/>
    <w:rsid w:val="00975BCD"/>
    <w:rsid w:val="009818A2"/>
    <w:rsid w:val="009928A9"/>
    <w:rsid w:val="009A0AF3"/>
    <w:rsid w:val="009A2154"/>
    <w:rsid w:val="009B07CD"/>
    <w:rsid w:val="009B7B34"/>
    <w:rsid w:val="009C19E9"/>
    <w:rsid w:val="009C2EE3"/>
    <w:rsid w:val="009D74A6"/>
    <w:rsid w:val="009E0E87"/>
    <w:rsid w:val="00A01991"/>
    <w:rsid w:val="00A10F02"/>
    <w:rsid w:val="00A17176"/>
    <w:rsid w:val="00A204CA"/>
    <w:rsid w:val="00A209D6"/>
    <w:rsid w:val="00A22738"/>
    <w:rsid w:val="00A36F5F"/>
    <w:rsid w:val="00A37CE7"/>
    <w:rsid w:val="00A430EC"/>
    <w:rsid w:val="00A53724"/>
    <w:rsid w:val="00A54B2B"/>
    <w:rsid w:val="00A703B6"/>
    <w:rsid w:val="00A72629"/>
    <w:rsid w:val="00A7308A"/>
    <w:rsid w:val="00A82346"/>
    <w:rsid w:val="00A9671C"/>
    <w:rsid w:val="00AA1553"/>
    <w:rsid w:val="00AB053F"/>
    <w:rsid w:val="00AF2F8B"/>
    <w:rsid w:val="00B01DF6"/>
    <w:rsid w:val="00B05380"/>
    <w:rsid w:val="00B05962"/>
    <w:rsid w:val="00B15449"/>
    <w:rsid w:val="00B16C2F"/>
    <w:rsid w:val="00B27303"/>
    <w:rsid w:val="00B47FD1"/>
    <w:rsid w:val="00B516BB"/>
    <w:rsid w:val="00B57FCB"/>
    <w:rsid w:val="00B72949"/>
    <w:rsid w:val="00B7538C"/>
    <w:rsid w:val="00B84DB2"/>
    <w:rsid w:val="00BC3555"/>
    <w:rsid w:val="00BE7001"/>
    <w:rsid w:val="00C073C3"/>
    <w:rsid w:val="00C12B51"/>
    <w:rsid w:val="00C24650"/>
    <w:rsid w:val="00C25465"/>
    <w:rsid w:val="00C33079"/>
    <w:rsid w:val="00C55A12"/>
    <w:rsid w:val="00C6553E"/>
    <w:rsid w:val="00C83A13"/>
    <w:rsid w:val="00C86F10"/>
    <w:rsid w:val="00C9068C"/>
    <w:rsid w:val="00C92967"/>
    <w:rsid w:val="00CA3D0C"/>
    <w:rsid w:val="00CA654B"/>
    <w:rsid w:val="00CB4910"/>
    <w:rsid w:val="00CB4F48"/>
    <w:rsid w:val="00CB72B8"/>
    <w:rsid w:val="00CD0BA8"/>
    <w:rsid w:val="00CD4747"/>
    <w:rsid w:val="00CD4C7B"/>
    <w:rsid w:val="00CD58FE"/>
    <w:rsid w:val="00D0733E"/>
    <w:rsid w:val="00D13663"/>
    <w:rsid w:val="00D33BE3"/>
    <w:rsid w:val="00D3792D"/>
    <w:rsid w:val="00D54820"/>
    <w:rsid w:val="00D55E47"/>
    <w:rsid w:val="00D62E19"/>
    <w:rsid w:val="00D64500"/>
    <w:rsid w:val="00D67CD1"/>
    <w:rsid w:val="00D738D6"/>
    <w:rsid w:val="00D80795"/>
    <w:rsid w:val="00D854BE"/>
    <w:rsid w:val="00D87E00"/>
    <w:rsid w:val="00D9134D"/>
    <w:rsid w:val="00D96D11"/>
    <w:rsid w:val="00DA3DC6"/>
    <w:rsid w:val="00DA7A03"/>
    <w:rsid w:val="00DB0DB8"/>
    <w:rsid w:val="00DB1818"/>
    <w:rsid w:val="00DC309B"/>
    <w:rsid w:val="00DC4DA2"/>
    <w:rsid w:val="00DC5261"/>
    <w:rsid w:val="00DD1713"/>
    <w:rsid w:val="00DD449E"/>
    <w:rsid w:val="00DD63A7"/>
    <w:rsid w:val="00DE25D2"/>
    <w:rsid w:val="00DF7C20"/>
    <w:rsid w:val="00E038FB"/>
    <w:rsid w:val="00E46C08"/>
    <w:rsid w:val="00E471CF"/>
    <w:rsid w:val="00E56580"/>
    <w:rsid w:val="00E62835"/>
    <w:rsid w:val="00E649F3"/>
    <w:rsid w:val="00E77645"/>
    <w:rsid w:val="00E83697"/>
    <w:rsid w:val="00E859B6"/>
    <w:rsid w:val="00E95198"/>
    <w:rsid w:val="00EA66C9"/>
    <w:rsid w:val="00EB165A"/>
    <w:rsid w:val="00EB5D32"/>
    <w:rsid w:val="00EC4A25"/>
    <w:rsid w:val="00EC5415"/>
    <w:rsid w:val="00EE0FEC"/>
    <w:rsid w:val="00EF612C"/>
    <w:rsid w:val="00F025A2"/>
    <w:rsid w:val="00F036E9"/>
    <w:rsid w:val="00F07388"/>
    <w:rsid w:val="00F17F50"/>
    <w:rsid w:val="00F2026E"/>
    <w:rsid w:val="00F2210A"/>
    <w:rsid w:val="00F31372"/>
    <w:rsid w:val="00F37743"/>
    <w:rsid w:val="00F425FA"/>
    <w:rsid w:val="00F54A3D"/>
    <w:rsid w:val="00F54CB0"/>
    <w:rsid w:val="00F55EF2"/>
    <w:rsid w:val="00F579CD"/>
    <w:rsid w:val="00F653B8"/>
    <w:rsid w:val="00F71B89"/>
    <w:rsid w:val="00F7353C"/>
    <w:rsid w:val="00F76F8F"/>
    <w:rsid w:val="00F87257"/>
    <w:rsid w:val="00F92FB6"/>
    <w:rsid w:val="00F941DF"/>
    <w:rsid w:val="00FA1266"/>
    <w:rsid w:val="00FB36FA"/>
    <w:rsid w:val="00FC0CC5"/>
    <w:rsid w:val="00FC1192"/>
    <w:rsid w:val="00FD38D0"/>
    <w:rsid w:val="00FD7FE6"/>
    <w:rsid w:val="00FE106D"/>
    <w:rsid w:val="00FE251B"/>
    <w:rsid w:val="02CA0311"/>
    <w:rsid w:val="0CA8C70D"/>
    <w:rsid w:val="1428591B"/>
    <w:rsid w:val="2313E8A3"/>
    <w:rsid w:val="29AC15AF"/>
    <w:rsid w:val="2C1D0FA8"/>
    <w:rsid w:val="3CCCEEB5"/>
    <w:rsid w:val="434F898C"/>
    <w:rsid w:val="47A3E0B5"/>
    <w:rsid w:val="55D66DED"/>
    <w:rsid w:val="5A860328"/>
    <w:rsid w:val="5F785E88"/>
    <w:rsid w:val="66F4D605"/>
    <w:rsid w:val="7EDAA5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0CB7ED0-0A81-469A-8742-857C1EB3E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D44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2754A9"/>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754A9"/>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2754A9"/>
    <w:rPr>
      <w:rFonts w:eastAsia="SimSun"/>
      <w:lang w:eastAsia="en-US"/>
    </w:rPr>
  </w:style>
  <w:style w:type="character" w:styleId="CommentReference">
    <w:name w:val="annotation reference"/>
    <w:rsid w:val="00242462"/>
    <w:rPr>
      <w:sz w:val="16"/>
    </w:rPr>
  </w:style>
  <w:style w:type="paragraph" w:styleId="CommentText">
    <w:name w:val="annotation text"/>
    <w:basedOn w:val="Normal"/>
    <w:link w:val="CommentTextChar"/>
    <w:rsid w:val="00242462"/>
    <w:rPr>
      <w:rFonts w:eastAsia="MS Mincho"/>
    </w:rPr>
  </w:style>
  <w:style w:type="character" w:customStyle="1" w:styleId="CommentTextChar">
    <w:name w:val="Comment Text Char"/>
    <w:basedOn w:val="DefaultParagraphFont"/>
    <w:link w:val="CommentText"/>
    <w:rsid w:val="00242462"/>
    <w:rPr>
      <w:rFonts w:eastAsia="MS Mincho"/>
      <w:lang w:eastAsia="en-US"/>
    </w:rPr>
  </w:style>
  <w:style w:type="character" w:customStyle="1" w:styleId="Heading1Char">
    <w:name w:val="Heading 1 Char"/>
    <w:basedOn w:val="DefaultParagraphFont"/>
    <w:link w:val="Heading1"/>
    <w:rsid w:val="00DA3DC6"/>
    <w:rPr>
      <w:rFonts w:ascii="Arial" w:hAnsi="Arial"/>
      <w:sz w:val="36"/>
      <w:lang w:eastAsia="en-US"/>
    </w:rPr>
  </w:style>
  <w:style w:type="paragraph" w:styleId="Revision">
    <w:name w:val="Revision"/>
    <w:hidden/>
    <w:uiPriority w:val="99"/>
    <w:semiHidden/>
    <w:rsid w:val="00EC5415"/>
    <w:rPr>
      <w:lang w:eastAsia="en-US"/>
    </w:rPr>
  </w:style>
  <w:style w:type="paragraph" w:styleId="CommentSubject">
    <w:name w:val="annotation subject"/>
    <w:basedOn w:val="CommentText"/>
    <w:next w:val="CommentText"/>
    <w:link w:val="CommentSubjectChar"/>
    <w:rsid w:val="009B7B34"/>
    <w:rPr>
      <w:rFonts w:eastAsia="Times New Roman"/>
      <w:b/>
      <w:bCs/>
    </w:rPr>
  </w:style>
  <w:style w:type="character" w:customStyle="1" w:styleId="CommentSubjectChar">
    <w:name w:val="Comment Subject Char"/>
    <w:basedOn w:val="CommentTextChar"/>
    <w:link w:val="CommentSubject"/>
    <w:rsid w:val="009B7B34"/>
    <w:rPr>
      <w:rFonts w:eastAsia="MS Mincho"/>
      <w:b/>
      <w:bCs/>
      <w:lang w:eastAsia="en-US"/>
    </w:rPr>
  </w:style>
  <w:style w:type="paragraph" w:styleId="BodyText">
    <w:name w:val="Body Text"/>
    <w:basedOn w:val="Normal"/>
    <w:link w:val="BodyTextChar"/>
    <w:unhideWhenUsed/>
    <w:qFormat/>
    <w:rsid w:val="0066061C"/>
    <w:pPr>
      <w:spacing w:after="120"/>
      <w:jc w:val="both"/>
    </w:pPr>
    <w:rPr>
      <w:rFonts w:ascii="Times" w:hAnsi="Times"/>
      <w:szCs w:val="24"/>
      <w:lang w:val="en-US"/>
    </w:rPr>
  </w:style>
  <w:style w:type="character" w:customStyle="1" w:styleId="BodyTextChar">
    <w:name w:val="Body Text Char"/>
    <w:basedOn w:val="DefaultParagraphFont"/>
    <w:link w:val="BodyText"/>
    <w:qFormat/>
    <w:rsid w:val="0066061C"/>
    <w:rPr>
      <w:rFonts w:ascii="Times" w:hAnsi="Times"/>
      <w:szCs w:val="24"/>
      <w:lang w:val="en-US" w:eastAsia="en-US"/>
    </w:rPr>
  </w:style>
  <w:style w:type="character" w:customStyle="1" w:styleId="ui-provider">
    <w:name w:val="ui-provider"/>
    <w:basedOn w:val="DefaultParagraphFont"/>
    <w:rsid w:val="00837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164598">
      <w:bodyDiv w:val="1"/>
      <w:marLeft w:val="0"/>
      <w:marRight w:val="0"/>
      <w:marTop w:val="0"/>
      <w:marBottom w:val="0"/>
      <w:divBdr>
        <w:top w:val="none" w:sz="0" w:space="0" w:color="auto"/>
        <w:left w:val="none" w:sz="0" w:space="0" w:color="auto"/>
        <w:bottom w:val="none" w:sz="0" w:space="0" w:color="auto"/>
        <w:right w:val="none" w:sz="0" w:space="0" w:color="auto"/>
      </w:divBdr>
    </w:div>
    <w:div w:id="832840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6156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1/Docs/R1-2212827.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TSG_RAN/TSGR_97e/Docs/RP-2219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5AIRPNAIUNRU-859666464-13306</_dlc_DocId>
    <_dlc_DocIdUrl xmlns="71c5aaf6-e6ce-465b-b873-5148d2a4c105">
      <Url>https://nokia.sharepoint.com/sites/c5g/e2earch/_layouts/15/DocIdRedir.aspx?ID=5AIRPNAIUNRU-859666464-13306</Url>
      <Description>5AIRPNAIUNRU-859666464-13306</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2413</Words>
  <Characters>13755</Characters>
  <Application>Microsoft Office Word</Application>
  <DocSecurity>0</DocSecurity>
  <Lines>114</Lines>
  <Paragraphs>32</Paragraphs>
  <ScaleCrop>false</ScaleCrop>
  <Manager/>
  <Company>Nokia</Company>
  <LinksUpToDate>false</LinksUpToDate>
  <CharactersWithSpaces>16136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Jakob Buthler (Nokia)</cp:lastModifiedBy>
  <cp:revision>198</cp:revision>
  <dcterms:created xsi:type="dcterms:W3CDTF">2016-08-13T05:53:00Z</dcterms:created>
  <dcterms:modified xsi:type="dcterms:W3CDTF">2023-02-16T16:30:00Z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d57bf211-dcab-45b5-9552-9aa3ba049469</vt:lpwstr>
  </property>
</Properties>
</file>